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ענבל קרן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A2662B" w:rsidRDefault="004710F2" w:rsidP="004710F2">
                <w:pPr>
                  <w:rPr>
                    <w:rFonts w:ascii="Arial (W1)" w:hAnsi="Arial (W1)"/>
                    <w:b/>
                    <w:bCs/>
                    <w:noProof w:val="0"/>
                    <w:sz w:val="28"/>
                    <w:szCs w:val="28"/>
                  </w:rPr>
                </w:pPr>
                <w:r w:rsidRPr="004710F2">
                  <w:rPr>
                    <w:rFonts w:hint="cs"/>
                    <w:b/>
                    <w:bCs/>
                    <w:rtl/>
                  </w:rPr>
                  <w:t>המבקש</w:t>
                </w:r>
              </w:p>
            </w:sdtContent>
          </w:sdt>
        </w:tc>
        <w:tc>
          <w:tcPr>
            <w:tcW w:w="5571" w:type="dxa"/>
          </w:tcPr>
          <w:p w:rsidR="006816EC" w:rsidRDefault="006816EC">
            <w:pPr>
              <w:rPr>
                <w:rFonts w:ascii="Arial (W1)" w:hAnsi="Arial (W1)"/>
                <w:b/>
                <w:bCs/>
                <w:noProof w:val="0"/>
                <w:sz w:val="28"/>
                <w:szCs w:val="28"/>
                <w:rtl/>
              </w:rPr>
            </w:pPr>
          </w:p>
          <w:p w:rsidR="004710F2" w:rsidRDefault="003D44A4" w:rsidP="00CE2B03">
            <w:pPr>
              <w:rPr>
                <w:rtl/>
              </w:rPr>
            </w:pPr>
            <w:sdt>
              <w:sdtPr>
                <w:rPr>
                  <w:rFonts w:hint="cs"/>
                  <w:b/>
                  <w:bCs/>
                  <w:noProof w:val="0"/>
                  <w:sz w:val="28"/>
                  <w:rtl/>
                </w:rPr>
                <w:alias w:val="1486"/>
                <w:tag w:val="1486"/>
                <w:id w:val="1487590763"/>
                <w:text w:multiLine="1"/>
              </w:sdtPr>
              <w:sdtEndPr/>
              <w:sdtContent>
                <w:r w:rsidR="00CE2B03">
                  <w:rPr>
                    <w:rFonts w:hint="cs"/>
                    <w:b/>
                    <w:bCs/>
                    <w:noProof w:val="0"/>
                    <w:sz w:val="28"/>
                    <w:rtl/>
                  </w:rPr>
                  <w:t xml:space="preserve">פלוני </w:t>
                </w:r>
              </w:sdtContent>
            </w:sdt>
          </w:p>
          <w:p w:rsidR="009B0F62" w:rsidRDefault="009B0F62" w:rsidP="00C422A7">
            <w:pPr>
              <w:rPr>
                <w:rFonts w:ascii="Arial" w:hAnsi="Arial"/>
                <w:noProof w:val="0"/>
                <w:rtl/>
              </w:rPr>
            </w:pPr>
          </w:p>
          <w:p w:rsidR="004710F2" w:rsidRPr="009B0F62" w:rsidRDefault="004710F2" w:rsidP="00C422A7">
            <w:pPr>
              <w:rPr>
                <w:rFonts w:ascii="Arial (W1)" w:hAnsi="Arial (W1)"/>
                <w:noProof w:val="0"/>
                <w:rtl/>
              </w:rPr>
            </w:pPr>
            <w:r w:rsidRPr="009B0F62">
              <w:rPr>
                <w:rFonts w:ascii="Arial" w:hAnsi="Arial"/>
                <w:noProof w:val="0"/>
                <w:rtl/>
              </w:rPr>
              <w:t>ע"י ב"כ עוה"ד</w:t>
            </w:r>
            <w:r w:rsidRPr="009B0F62">
              <w:rPr>
                <w:rFonts w:ascii="Arial" w:hAnsi="Arial" w:hint="cs"/>
                <w:noProof w:val="0"/>
                <w:rtl/>
              </w:rPr>
              <w:t xml:space="preserve"> נסראלדין </w:t>
            </w:r>
          </w:p>
          <w:p w:rsidR="006816EC" w:rsidRDefault="004710F2">
            <w:pPr>
              <w:rPr>
                <w:rFonts w:ascii="Arial (W1)" w:hAnsi="Arial (W1)"/>
                <w:b/>
                <w:bCs/>
                <w:noProof w:val="0"/>
                <w:sz w:val="28"/>
                <w:szCs w:val="28"/>
                <w:rtl/>
              </w:rPr>
            </w:pPr>
            <w:r>
              <w:rPr>
                <w:b/>
                <w:bCs/>
                <w:noProof w:val="0"/>
                <w:sz w:val="28"/>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D44A4" w:rsidP="004710F2">
            <w:pPr>
              <w:rPr>
                <w:rFonts w:ascii="Arial (W1)" w:hAnsi="Arial (W1)"/>
                <w:b/>
                <w:bCs/>
                <w:noProof w:val="0"/>
                <w:sz w:val="28"/>
                <w:szCs w:val="28"/>
              </w:rPr>
            </w:pPr>
            <w:sdt>
              <w:sdtPr>
                <w:rPr>
                  <w:rFonts w:hint="cs"/>
                  <w:b/>
                  <w:bCs/>
                  <w:rtl/>
                </w:rPr>
                <w:alias w:val="1184"/>
                <w:tag w:val="1184"/>
                <w:id w:val="-910234160"/>
                <w:text w:multiLine="1"/>
              </w:sdtPr>
              <w:sdtEndPr/>
              <w:sdtContent>
                <w:r w:rsidR="004710F2" w:rsidRPr="004710F2">
                  <w:rPr>
                    <w:rFonts w:hint="cs"/>
                    <w:b/>
                    <w:bCs/>
                    <w:rtl/>
                  </w:rPr>
                  <w:t>המשיבים</w:t>
                </w:r>
              </w:sdtContent>
            </w:sdt>
          </w:p>
        </w:tc>
        <w:tc>
          <w:tcPr>
            <w:tcW w:w="5571" w:type="dxa"/>
          </w:tcPr>
          <w:p w:rsidR="006816EC" w:rsidRDefault="006816EC">
            <w:pPr>
              <w:rPr>
                <w:rFonts w:ascii="Arial (W1)" w:hAnsi="Arial (W1)"/>
                <w:b/>
                <w:bCs/>
                <w:noProof w:val="0"/>
                <w:sz w:val="28"/>
                <w:szCs w:val="28"/>
                <w:rtl/>
              </w:rPr>
            </w:pPr>
          </w:p>
          <w:p w:rsidR="004710F2" w:rsidRDefault="003D44A4" w:rsidP="00CE2B03">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4710F2">
                  <w:rPr>
                    <w:rFonts w:hint="cs"/>
                    <w:b/>
                    <w:bCs/>
                    <w:noProof w:val="0"/>
                    <w:sz w:val="28"/>
                    <w:rtl/>
                  </w:rPr>
                  <w:t>1</w:t>
                </w:r>
              </w:sdtContent>
            </w:sdt>
            <w:r w:rsidR="004710F2">
              <w:rPr>
                <w:rFonts w:hint="cs"/>
                <w:b/>
                <w:bCs/>
                <w:noProof w:val="0"/>
                <w:sz w:val="28"/>
                <w:rtl/>
              </w:rPr>
              <w:t>.</w:t>
            </w:r>
            <w:sdt>
              <w:sdtPr>
                <w:rPr>
                  <w:rFonts w:hint="cs"/>
                  <w:b/>
                  <w:bCs/>
                  <w:noProof w:val="0"/>
                  <w:sz w:val="28"/>
                  <w:rtl/>
                </w:rPr>
                <w:alias w:val="1478"/>
                <w:tag w:val="1478"/>
                <w:id w:val="160126198"/>
                <w:text w:multiLine="1"/>
              </w:sdtPr>
              <w:sdtEndPr/>
              <w:sdtContent>
                <w:r w:rsidR="00CE2B03">
                  <w:rPr>
                    <w:rFonts w:hint="cs"/>
                    <w:b/>
                    <w:bCs/>
                    <w:noProof w:val="0"/>
                    <w:sz w:val="28"/>
                    <w:rtl/>
                  </w:rPr>
                  <w:t xml:space="preserve">אלמוני 1 </w:t>
                </w:r>
              </w:sdtContent>
            </w:sdt>
          </w:p>
          <w:p w:rsidR="004710F2" w:rsidRDefault="003D44A4" w:rsidP="00CE2B03">
            <w:pPr>
              <w:rPr>
                <w:b/>
                <w:bCs/>
                <w:noProof w:val="0"/>
                <w:sz w:val="28"/>
                <w:rtl/>
              </w:rPr>
            </w:pPr>
            <w:sdt>
              <w:sdtPr>
                <w:rPr>
                  <w:rFonts w:hint="cs"/>
                  <w:b/>
                  <w:bCs/>
                  <w:noProof w:val="0"/>
                  <w:sz w:val="28"/>
                  <w:rtl/>
                </w:rPr>
                <w:alias w:val="1462"/>
                <w:tag w:val="1462"/>
                <w:id w:val="-1232304719"/>
                <w:text w:multiLine="1"/>
              </w:sdtPr>
              <w:sdtEndPr/>
              <w:sdtContent>
                <w:r w:rsidR="004710F2">
                  <w:rPr>
                    <w:rFonts w:hint="cs"/>
                    <w:b/>
                    <w:bCs/>
                    <w:noProof w:val="0"/>
                    <w:sz w:val="28"/>
                    <w:rtl/>
                  </w:rPr>
                  <w:t>2</w:t>
                </w:r>
              </w:sdtContent>
            </w:sdt>
            <w:r w:rsidR="004710F2">
              <w:rPr>
                <w:rFonts w:hint="cs"/>
                <w:b/>
                <w:bCs/>
                <w:noProof w:val="0"/>
                <w:sz w:val="28"/>
                <w:rtl/>
              </w:rPr>
              <w:t>.</w:t>
            </w:r>
            <w:sdt>
              <w:sdtPr>
                <w:rPr>
                  <w:rFonts w:hint="cs"/>
                  <w:b/>
                  <w:bCs/>
                  <w:noProof w:val="0"/>
                  <w:sz w:val="28"/>
                  <w:rtl/>
                </w:rPr>
                <w:alias w:val="1478"/>
                <w:tag w:val="1478"/>
                <w:id w:val="-168405726"/>
                <w:text w:multiLine="1"/>
              </w:sdtPr>
              <w:sdtEndPr/>
              <w:sdtContent>
                <w:r w:rsidR="00CE2B03">
                  <w:rPr>
                    <w:rFonts w:hint="cs"/>
                    <w:b/>
                    <w:bCs/>
                    <w:noProof w:val="0"/>
                    <w:sz w:val="28"/>
                    <w:rtl/>
                  </w:rPr>
                  <w:t xml:space="preserve">אלמוני 2 </w:t>
                </w:r>
              </w:sdtContent>
            </w:sdt>
          </w:p>
          <w:p w:rsidR="009B0F62" w:rsidRDefault="009B0F62" w:rsidP="00EE31ED">
            <w:pPr>
              <w:rPr>
                <w:rFonts w:ascii="Arial" w:hAnsi="Arial"/>
                <w:noProof w:val="0"/>
                <w:rtl/>
              </w:rPr>
            </w:pPr>
          </w:p>
          <w:p w:rsidR="006816EC" w:rsidRPr="009B0F62" w:rsidRDefault="004710F2" w:rsidP="00EE31ED">
            <w:pPr>
              <w:rPr>
                <w:rFonts w:ascii="Arial (W1)" w:hAnsi="Arial (W1)"/>
                <w:noProof w:val="0"/>
              </w:rPr>
            </w:pPr>
            <w:r w:rsidRPr="009B0F62">
              <w:rPr>
                <w:rFonts w:ascii="Arial" w:hAnsi="Arial"/>
                <w:noProof w:val="0"/>
                <w:rtl/>
              </w:rPr>
              <w:t>ע"י ב"כ עוה"ד</w:t>
            </w:r>
            <w:r w:rsidRPr="009B0F62">
              <w:rPr>
                <w:rFonts w:ascii="Arial" w:hAnsi="Arial" w:hint="cs"/>
                <w:noProof w:val="0"/>
                <w:rtl/>
              </w:rPr>
              <w:t xml:space="preserve"> סלהוב</w:t>
            </w:r>
          </w:p>
        </w:tc>
      </w:tr>
      <w:tr w:rsidR="00D36A71" w:rsidTr="00A94B1C">
        <w:trPr>
          <w:jc w:val="center"/>
        </w:trPr>
        <w:tc>
          <w:tcPr>
            <w:tcW w:w="8820" w:type="dxa"/>
            <w:gridSpan w:val="3"/>
          </w:tcPr>
          <w:p w:rsidR="00D36A71" w:rsidRDefault="003D44A4" w:rsidP="00CE2B03">
            <w:pPr>
              <w:rPr>
                <w:rFonts w:ascii="Arial (W1)" w:hAnsi="Arial (W1)"/>
                <w:b/>
                <w:bCs/>
                <w:noProof w:val="0"/>
                <w:sz w:val="28"/>
                <w:szCs w:val="28"/>
                <w:rtl/>
              </w:rPr>
            </w:pPr>
            <w:sdt>
              <w:sdtPr>
                <w:rPr>
                  <w:rtl/>
                </w:rPr>
                <w:alias w:val="1486"/>
                <w:tag w:val="1486"/>
                <w:id w:val="-309872140"/>
                <w:text w:multiLine="1"/>
              </w:sdtPr>
              <w:sdtEndPr/>
              <w:sdtContent>
                <w:r w:rsidR="00BB7418">
                  <w:rPr>
                    <w:rFonts w:ascii="Arial" w:hAnsi="Arial" w:hint="cs"/>
                    <w:b/>
                    <w:bCs/>
                    <w:noProof w:val="0"/>
                    <w:sz w:val="26"/>
                    <w:szCs w:val="26"/>
                    <w:rtl/>
                  </w:rPr>
                  <w:t xml:space="preserve">                                                       </w:t>
                </w:r>
                <w:r w:rsidR="00BB7418">
                  <w:rPr>
                    <w:rFonts w:ascii="Arial" w:hAnsi="Arial"/>
                    <w:b/>
                    <w:bCs/>
                    <w:noProof w:val="0"/>
                    <w:sz w:val="26"/>
                    <w:szCs w:val="26"/>
                    <w:rtl/>
                  </w:rPr>
                  <w:br/>
                </w:r>
                <w:r w:rsidR="00BB7418">
                  <w:rPr>
                    <w:rFonts w:ascii="Arial" w:hAnsi="Arial" w:hint="cs"/>
                    <w:b/>
                    <w:bCs/>
                    <w:noProof w:val="0"/>
                    <w:sz w:val="26"/>
                    <w:szCs w:val="26"/>
                    <w:rtl/>
                  </w:rPr>
                  <w:t xml:space="preserve">                                                         3. </w:t>
                </w:r>
                <w:r w:rsidR="00BB7418">
                  <w:rPr>
                    <w:rFonts w:ascii="Arial" w:hAnsi="Arial"/>
                    <w:b/>
                    <w:bCs/>
                    <w:noProof w:val="0"/>
                    <w:sz w:val="26"/>
                    <w:szCs w:val="26"/>
                    <w:rtl/>
                  </w:rPr>
                  <w:t xml:space="preserve">בנק </w:t>
                </w:r>
              </w:sdtContent>
            </w:sdt>
            <w:r w:rsidR="00BB7418">
              <w:rPr>
                <w:rtl/>
              </w:rPr>
              <w:t xml:space="preserve"> </w:t>
            </w:r>
            <w:r w:rsidR="00BB7418">
              <w:rPr>
                <w:rFonts w:ascii="Arial" w:hAnsi="Arial"/>
                <w:b/>
                <w:bCs/>
                <w:noProof w:val="0"/>
                <w:sz w:val="26"/>
                <w:szCs w:val="26"/>
                <w:rtl/>
              </w:rPr>
              <w:t xml:space="preserve"> </w:t>
            </w:r>
            <w:r w:rsidR="00CE2B03">
              <w:rPr>
                <w:rFonts w:ascii="Arial" w:hAnsi="Arial" w:hint="cs"/>
                <w:b/>
                <w:bCs/>
                <w:noProof w:val="0"/>
                <w:sz w:val="26"/>
                <w:szCs w:val="26"/>
                <w:rtl/>
              </w:rPr>
              <w:t xml:space="preserve"> </w:t>
            </w:r>
          </w:p>
          <w:p w:rsidR="00D36A71" w:rsidRDefault="00D36A71">
            <w:pPr>
              <w:rPr>
                <w:rFonts w:ascii="Arial (W1)" w:hAnsi="Arial (W1)"/>
                <w:b/>
                <w:bCs/>
                <w:noProof w:val="0"/>
                <w:sz w:val="28"/>
                <w:szCs w:val="28"/>
                <w:rtl/>
              </w:rPr>
            </w:pPr>
          </w:p>
        </w:tc>
      </w:tr>
      <w:tr w:rsidR="00BB7418" w:rsidTr="00A94B1C">
        <w:trPr>
          <w:jc w:val="center"/>
        </w:trPr>
        <w:tc>
          <w:tcPr>
            <w:tcW w:w="8820" w:type="dxa"/>
            <w:gridSpan w:val="3"/>
          </w:tcPr>
          <w:p w:rsidR="00BB7418" w:rsidRDefault="00BB7418">
            <w:pPr>
              <w:rPr>
                <w:rFonts w:ascii="Arial" w:hAnsi="Arial"/>
                <w:b/>
                <w:bCs/>
                <w:noProof w:val="0"/>
                <w:sz w:val="26"/>
                <w:szCs w:val="26"/>
                <w:rtl/>
              </w:rPr>
            </w:pPr>
          </w:p>
        </w:tc>
      </w:tr>
    </w:tbl>
    <w:p w:rsidR="00694556" w:rsidRDefault="00694556">
      <w:pPr>
        <w:spacing w:line="360" w:lineRule="auto"/>
        <w:jc w:val="both"/>
        <w:rPr>
          <w:rFonts w:ascii="Arial" w:hAnsi="Arial"/>
          <w:noProof w:val="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B62C1" w:rsidTr="00AB62C1">
        <w:trPr>
          <w:jc w:val="center"/>
        </w:trPr>
        <w:tc>
          <w:tcPr>
            <w:tcW w:w="8820" w:type="dxa"/>
            <w:hideMark/>
          </w:tcPr>
          <w:p w:rsidR="00AB62C1" w:rsidRDefault="00AB62C1">
            <w:pPr>
              <w:bidi w:val="0"/>
              <w:jc w:val="center"/>
              <w:rPr>
                <w:rFonts w:ascii="Arial" w:hAnsi="Arial"/>
                <w:b/>
                <w:bCs/>
                <w:noProof w:val="0"/>
                <w:sz w:val="28"/>
                <w:szCs w:val="28"/>
                <w:u w:val="single"/>
              </w:rPr>
            </w:pPr>
            <w:r>
              <w:rPr>
                <w:rFonts w:ascii="Arial" w:hAnsi="Arial"/>
                <w:b/>
                <w:bCs/>
                <w:noProof w:val="0"/>
                <w:sz w:val="28"/>
                <w:szCs w:val="28"/>
                <w:u w:val="single"/>
                <w:rtl/>
              </w:rPr>
              <w:t>החלטה</w:t>
            </w:r>
          </w:p>
          <w:p w:rsidR="00AB62C1" w:rsidRDefault="00AB62C1">
            <w:pPr>
              <w:bidi w:val="0"/>
              <w:jc w:val="center"/>
              <w:rPr>
                <w:rFonts w:ascii="Arial" w:hAnsi="Arial"/>
                <w:b/>
                <w:bCs/>
                <w:noProof w:val="0"/>
                <w:sz w:val="28"/>
                <w:szCs w:val="28"/>
                <w:u w:val="single"/>
              </w:rPr>
            </w:pPr>
            <w:r>
              <w:rPr>
                <w:rFonts w:ascii="Arial" w:hAnsi="Arial"/>
                <w:b/>
                <w:bCs/>
                <w:noProof w:val="0"/>
                <w:sz w:val="28"/>
                <w:szCs w:val="28"/>
                <w:u w:val="single"/>
                <w:rtl/>
              </w:rPr>
              <w:t>בקשה לסילוק תביעה על הסף</w:t>
            </w:r>
          </w:p>
          <w:p w:rsidR="00AB62C1" w:rsidRDefault="00AB62C1">
            <w:pPr>
              <w:bidi w:val="0"/>
              <w:jc w:val="center"/>
              <w:rPr>
                <w:rFonts w:ascii="Arial" w:hAnsi="Arial"/>
                <w:b/>
                <w:bCs/>
                <w:noProof w:val="0"/>
                <w:sz w:val="28"/>
                <w:szCs w:val="28"/>
                <w:u w:val="single"/>
              </w:rPr>
            </w:pPr>
            <w:r>
              <w:rPr>
                <w:rFonts w:ascii="Arial" w:hAnsi="Arial"/>
                <w:b/>
                <w:bCs/>
                <w:noProof w:val="0"/>
                <w:sz w:val="28"/>
                <w:szCs w:val="28"/>
                <w:u w:val="single"/>
              </w:rPr>
              <w:t xml:space="preserve"> </w:t>
            </w:r>
          </w:p>
        </w:tc>
      </w:tr>
    </w:tbl>
    <w:p w:rsidR="00AB62C1" w:rsidRDefault="00AB62C1" w:rsidP="006C2FF1">
      <w:pPr>
        <w:spacing w:line="360" w:lineRule="auto"/>
        <w:jc w:val="both"/>
        <w:rPr>
          <w:rFonts w:ascii="Arial" w:hAnsi="Arial"/>
          <w:noProof w:val="0"/>
          <w:sz w:val="20"/>
          <w:szCs w:val="20"/>
          <w:rtl/>
        </w:rPr>
      </w:pPr>
      <w:r>
        <w:rPr>
          <w:rFonts w:ascii="Arial" w:hAnsi="Arial"/>
          <w:noProof w:val="0"/>
          <w:rtl/>
        </w:rPr>
        <w:t xml:space="preserve">בפני בקשת </w:t>
      </w:r>
      <w:r w:rsidR="004710F2">
        <w:rPr>
          <w:rFonts w:ascii="Arial" w:hAnsi="Arial" w:hint="cs"/>
          <w:noProof w:val="0"/>
          <w:rtl/>
        </w:rPr>
        <w:t>המבקש/הנתבע</w:t>
      </w:r>
      <w:r>
        <w:rPr>
          <w:rFonts w:ascii="Arial" w:hAnsi="Arial"/>
          <w:noProof w:val="0"/>
          <w:rtl/>
        </w:rPr>
        <w:t xml:space="preserve"> להורות על סילוק על הסף של עתירת </w:t>
      </w:r>
      <w:r w:rsidR="004710F2">
        <w:rPr>
          <w:rFonts w:ascii="Arial" w:hAnsi="Arial" w:hint="cs"/>
          <w:noProof w:val="0"/>
          <w:rtl/>
        </w:rPr>
        <w:t>המשיבים/התובעים</w:t>
      </w:r>
      <w:r>
        <w:rPr>
          <w:rFonts w:ascii="Arial" w:hAnsi="Arial"/>
          <w:noProof w:val="0"/>
          <w:rtl/>
        </w:rPr>
        <w:t xml:space="preserve"> לפירוק השיתוף במקרקעין הידועים כחלק מגוש</w:t>
      </w:r>
      <w:r w:rsidR="006C2FF1">
        <w:rPr>
          <w:rFonts w:ascii="Arial" w:hAnsi="Arial" w:hint="cs"/>
          <w:noProof w:val="0"/>
          <w:rtl/>
        </w:rPr>
        <w:t xml:space="preserve">-- </w:t>
      </w:r>
      <w:r w:rsidR="00CF2954">
        <w:rPr>
          <w:rFonts w:ascii="Arial" w:hAnsi="Arial" w:hint="cs"/>
          <w:noProof w:val="0"/>
          <w:rtl/>
        </w:rPr>
        <w:t xml:space="preserve"> </w:t>
      </w:r>
      <w:r>
        <w:rPr>
          <w:rFonts w:ascii="Arial" w:hAnsi="Arial"/>
          <w:noProof w:val="0"/>
          <w:rtl/>
        </w:rPr>
        <w:t xml:space="preserve">חלקה </w:t>
      </w:r>
      <w:r w:rsidR="006C2FF1">
        <w:rPr>
          <w:rFonts w:ascii="Arial" w:hAnsi="Arial" w:hint="cs"/>
          <w:noProof w:val="0"/>
          <w:rtl/>
        </w:rPr>
        <w:t xml:space="preserve">-- </w:t>
      </w:r>
      <w:r w:rsidR="00CF2954">
        <w:rPr>
          <w:rFonts w:ascii="Arial" w:hAnsi="Arial" w:hint="cs"/>
          <w:noProof w:val="0"/>
          <w:rtl/>
        </w:rPr>
        <w:t xml:space="preserve"> </w:t>
      </w:r>
      <w:r>
        <w:rPr>
          <w:rFonts w:ascii="Arial" w:hAnsi="Arial"/>
          <w:noProof w:val="0"/>
          <w:sz w:val="20"/>
          <w:szCs w:val="20"/>
          <w:rtl/>
        </w:rPr>
        <w:t xml:space="preserve">(להלן: </w:t>
      </w:r>
      <w:r>
        <w:rPr>
          <w:rFonts w:ascii="Arial" w:hAnsi="Arial"/>
          <w:b/>
          <w:bCs/>
          <w:noProof w:val="0"/>
          <w:sz w:val="20"/>
          <w:szCs w:val="20"/>
          <w:rtl/>
        </w:rPr>
        <w:t>המקרקעין</w:t>
      </w:r>
      <w:r>
        <w:rPr>
          <w:rFonts w:ascii="Arial" w:hAnsi="Arial"/>
          <w:noProof w:val="0"/>
          <w:sz w:val="20"/>
          <w:szCs w:val="20"/>
          <w:rtl/>
        </w:rPr>
        <w:t xml:space="preserve">"). </w:t>
      </w:r>
    </w:p>
    <w:p w:rsidR="00AB62C1" w:rsidRDefault="00AB62C1" w:rsidP="004710F2">
      <w:pPr>
        <w:spacing w:line="360" w:lineRule="auto"/>
        <w:jc w:val="both"/>
        <w:rPr>
          <w:rFonts w:ascii="Arial" w:hAnsi="Arial"/>
          <w:noProof w:val="0"/>
          <w:rtl/>
        </w:rPr>
      </w:pPr>
      <w:r>
        <w:rPr>
          <w:rFonts w:ascii="Arial" w:hAnsi="Arial"/>
          <w:noProof w:val="0"/>
          <w:rtl/>
        </w:rPr>
        <w:t xml:space="preserve">לחלופין, עתר </w:t>
      </w:r>
      <w:r w:rsidR="004710F2">
        <w:rPr>
          <w:rFonts w:ascii="Arial" w:hAnsi="Arial" w:hint="cs"/>
          <w:noProof w:val="0"/>
          <w:rtl/>
        </w:rPr>
        <w:t xml:space="preserve">המבקש </w:t>
      </w:r>
      <w:r>
        <w:rPr>
          <w:rFonts w:ascii="Arial" w:hAnsi="Arial"/>
          <w:noProof w:val="0"/>
          <w:rtl/>
        </w:rPr>
        <w:t xml:space="preserve">להורות על העברת התובענה לבית משפט השלום ולהורות </w:t>
      </w:r>
      <w:r w:rsidR="004710F2">
        <w:rPr>
          <w:rFonts w:ascii="Arial" w:hAnsi="Arial" w:hint="cs"/>
          <w:noProof w:val="0"/>
          <w:rtl/>
        </w:rPr>
        <w:t xml:space="preserve">למשיבים </w:t>
      </w:r>
      <w:r>
        <w:rPr>
          <w:rFonts w:ascii="Arial" w:hAnsi="Arial"/>
          <w:noProof w:val="0"/>
          <w:rtl/>
        </w:rPr>
        <w:t xml:space="preserve">לצרף את כל הצדדים בעלי הזכויות בחלקה. </w:t>
      </w:r>
    </w:p>
    <w:p w:rsidR="00AB62C1" w:rsidRDefault="00AB62C1" w:rsidP="004710F2">
      <w:pPr>
        <w:spacing w:line="360" w:lineRule="auto"/>
        <w:jc w:val="both"/>
        <w:rPr>
          <w:rFonts w:ascii="Arial" w:hAnsi="Arial"/>
          <w:noProof w:val="0"/>
          <w:rtl/>
        </w:rPr>
      </w:pPr>
      <w:r>
        <w:rPr>
          <w:rFonts w:ascii="Arial" w:hAnsi="Arial"/>
          <w:noProof w:val="0"/>
          <w:rtl/>
        </w:rPr>
        <w:t xml:space="preserve">בנוסף עתר </w:t>
      </w:r>
      <w:r w:rsidR="004710F2">
        <w:rPr>
          <w:rFonts w:ascii="Arial" w:hAnsi="Arial" w:hint="cs"/>
          <w:noProof w:val="0"/>
          <w:rtl/>
        </w:rPr>
        <w:t xml:space="preserve">המבקש </w:t>
      </w:r>
      <w:r>
        <w:rPr>
          <w:rFonts w:ascii="Arial" w:hAnsi="Arial"/>
          <w:noProof w:val="0"/>
          <w:rtl/>
        </w:rPr>
        <w:t xml:space="preserve">למתן ארכה להגשת כתב הגנתו, החלטה לעניין זה ניתנה ביום 22.11.22. </w:t>
      </w:r>
    </w:p>
    <w:p w:rsidR="00AB62C1" w:rsidRDefault="00AB62C1" w:rsidP="00AB62C1">
      <w:pPr>
        <w:spacing w:line="360" w:lineRule="auto"/>
        <w:jc w:val="both"/>
        <w:rPr>
          <w:rFonts w:ascii="Arial" w:hAnsi="Arial"/>
          <w:noProof w:val="0"/>
          <w:rtl/>
        </w:rPr>
      </w:pPr>
    </w:p>
    <w:p w:rsidR="00AB62C1" w:rsidRPr="00496D6B" w:rsidRDefault="00AB62C1" w:rsidP="00496D6B">
      <w:pPr>
        <w:spacing w:line="360" w:lineRule="auto"/>
        <w:jc w:val="both"/>
        <w:rPr>
          <w:rFonts w:ascii="Arial" w:hAnsi="Arial"/>
          <w:b/>
          <w:bCs/>
          <w:noProof w:val="0"/>
          <w:sz w:val="21"/>
          <w:szCs w:val="21"/>
          <w:u w:val="single"/>
          <w:rtl/>
        </w:rPr>
      </w:pPr>
      <w:r>
        <w:rPr>
          <w:rFonts w:ascii="Arial" w:hAnsi="Arial"/>
          <w:b/>
          <w:bCs/>
          <w:noProof w:val="0"/>
          <w:u w:val="single"/>
          <w:rtl/>
        </w:rPr>
        <w:t xml:space="preserve">תמצית טענות </w:t>
      </w:r>
      <w:r w:rsidR="00496D6B">
        <w:rPr>
          <w:rFonts w:ascii="Arial" w:hAnsi="Arial" w:hint="cs"/>
          <w:b/>
          <w:bCs/>
          <w:noProof w:val="0"/>
          <w:u w:val="single"/>
          <w:rtl/>
        </w:rPr>
        <w:t xml:space="preserve">המבקש </w:t>
      </w:r>
      <w:r w:rsidR="00496D6B" w:rsidRPr="00496D6B">
        <w:rPr>
          <w:rFonts w:ascii="Arial" w:hAnsi="Arial" w:hint="cs"/>
          <w:noProof w:val="0"/>
          <w:sz w:val="21"/>
          <w:szCs w:val="21"/>
          <w:u w:val="single"/>
          <w:rtl/>
        </w:rPr>
        <w:t>(להלן:</w:t>
      </w:r>
      <w:r w:rsidR="00496D6B" w:rsidRPr="00496D6B">
        <w:rPr>
          <w:rFonts w:ascii="Arial" w:hAnsi="Arial" w:hint="cs"/>
          <w:b/>
          <w:bCs/>
          <w:noProof w:val="0"/>
          <w:sz w:val="21"/>
          <w:szCs w:val="21"/>
          <w:u w:val="single"/>
          <w:rtl/>
        </w:rPr>
        <w:t xml:space="preserve"> ''הנתבע''</w:t>
      </w:r>
      <w:r w:rsidR="00496D6B" w:rsidRPr="00496D6B">
        <w:rPr>
          <w:rFonts w:ascii="Arial" w:hAnsi="Arial" w:hint="cs"/>
          <w:noProof w:val="0"/>
          <w:sz w:val="21"/>
          <w:szCs w:val="21"/>
          <w:u w:val="single"/>
          <w:rtl/>
        </w:rPr>
        <w:t>)</w:t>
      </w:r>
      <w:r w:rsidR="00496D6B" w:rsidRPr="00496D6B">
        <w:rPr>
          <w:rFonts w:ascii="Arial" w:hAnsi="Arial" w:hint="cs"/>
          <w:b/>
          <w:bCs/>
          <w:noProof w:val="0"/>
          <w:sz w:val="21"/>
          <w:szCs w:val="21"/>
          <w:u w:val="single"/>
          <w:rtl/>
        </w:rPr>
        <w:t xml:space="preserve"> </w:t>
      </w:r>
    </w:p>
    <w:p w:rsidR="00AB62C1" w:rsidRPr="008B3760" w:rsidRDefault="00AB62C1" w:rsidP="008B3760">
      <w:pPr>
        <w:spacing w:line="360" w:lineRule="auto"/>
        <w:jc w:val="both"/>
        <w:rPr>
          <w:rFonts w:ascii="Arial" w:hAnsi="Arial"/>
          <w:noProof w:val="0"/>
          <w:sz w:val="21"/>
          <w:szCs w:val="21"/>
          <w:rtl/>
        </w:rPr>
      </w:pPr>
      <w:r>
        <w:rPr>
          <w:rFonts w:ascii="Arial" w:hAnsi="Arial"/>
          <w:noProof w:val="0"/>
          <w:rtl/>
        </w:rPr>
        <w:t xml:space="preserve">לטענת </w:t>
      </w:r>
      <w:r w:rsidR="00496D6B">
        <w:rPr>
          <w:rFonts w:ascii="Arial" w:hAnsi="Arial" w:hint="cs"/>
          <w:noProof w:val="0"/>
          <w:rtl/>
        </w:rPr>
        <w:t>הנתבע</w:t>
      </w:r>
      <w:r>
        <w:rPr>
          <w:rFonts w:ascii="Arial" w:hAnsi="Arial"/>
          <w:noProof w:val="0"/>
          <w:rtl/>
        </w:rPr>
        <w:t>, כתב התביעה אינו עומד בתנאי החוק שכן לא צורפו לו כל הבעלים המשותפים במקרקעין (</w:t>
      </w:r>
      <w:r>
        <w:rPr>
          <w:rFonts w:ascii="Arial" w:hAnsi="Arial"/>
          <w:noProof w:val="0"/>
          <w:sz w:val="21"/>
          <w:szCs w:val="21"/>
          <w:rtl/>
        </w:rPr>
        <w:t>ר' ע"א 29114-06-12, ת"א 1190/03, ת"א 3939/95 ועוד</w:t>
      </w:r>
      <w:r>
        <w:rPr>
          <w:rFonts w:ascii="Arial" w:hAnsi="Arial"/>
          <w:noProof w:val="0"/>
          <w:rtl/>
        </w:rPr>
        <w:t>). לטענתו, עיון בנסח רישום המקרקעין מלמד כי יש למעלה מ30 בעלי זכויות בחלקה ויש חובה לצרפם כבעלי דין (</w:t>
      </w:r>
      <w:r w:rsidRPr="008B3760">
        <w:rPr>
          <w:rFonts w:ascii="Arial" w:hAnsi="Arial"/>
          <w:noProof w:val="0"/>
          <w:sz w:val="21"/>
          <w:szCs w:val="21"/>
          <w:rtl/>
        </w:rPr>
        <w:t xml:space="preserve">לבקשתו צורף נסח לשכת רישום המקרקעין). </w:t>
      </w:r>
    </w:p>
    <w:p w:rsidR="00AB62C1" w:rsidRDefault="00AB62C1" w:rsidP="00AB62C1">
      <w:pPr>
        <w:spacing w:line="360" w:lineRule="auto"/>
        <w:jc w:val="both"/>
        <w:rPr>
          <w:rFonts w:ascii="Arial" w:hAnsi="Arial"/>
          <w:noProof w:val="0"/>
          <w:rtl/>
        </w:rPr>
      </w:pPr>
      <w:r>
        <w:rPr>
          <w:rFonts w:ascii="Arial" w:hAnsi="Arial"/>
          <w:noProof w:val="0"/>
          <w:rtl/>
        </w:rPr>
        <w:t xml:space="preserve">לא זו בלבד, לטענתו, במסגרת הליך פירוק שיתוף על בית המשפט להביא בחשבון את מלוא השיקולים התכנוניים והקניינים כך שכל חלוקה תהיה כפופה להוראות התכנון והבניה לרבות התוכניות החלות על הקרקע ותוכניות המתאר. לטענתו, עיון בכתב התביעה מלמד כי הוא מתעלם מאלו. </w:t>
      </w:r>
    </w:p>
    <w:p w:rsidR="00AB62C1" w:rsidRDefault="00AB62C1" w:rsidP="00AB62C1">
      <w:pPr>
        <w:spacing w:line="360" w:lineRule="auto"/>
        <w:jc w:val="both"/>
        <w:rPr>
          <w:rFonts w:ascii="Arial" w:hAnsi="Arial"/>
          <w:noProof w:val="0"/>
          <w:rtl/>
        </w:rPr>
      </w:pPr>
      <w:r>
        <w:rPr>
          <w:rFonts w:ascii="Arial" w:hAnsi="Arial"/>
          <w:noProof w:val="0"/>
          <w:rtl/>
        </w:rPr>
        <w:t xml:space="preserve">כן לטענתו, לביה"מ לענייני משפחה אין סמכות עניינית לדון בתובענה מאחר ולו מחמת הפוטנציאל שיהא צורך לצרף צדדים נוספים שאינם עונים על ההגדרה המקנה לו סמכות. </w:t>
      </w:r>
    </w:p>
    <w:p w:rsidR="00AB62C1" w:rsidRDefault="00AB62C1" w:rsidP="00AB62C1">
      <w:pPr>
        <w:spacing w:line="360" w:lineRule="auto"/>
        <w:jc w:val="both"/>
        <w:rPr>
          <w:rFonts w:ascii="Arial" w:hAnsi="Arial"/>
          <w:noProof w:val="0"/>
          <w:rtl/>
        </w:rPr>
      </w:pPr>
      <w:r>
        <w:rPr>
          <w:rFonts w:ascii="Arial" w:hAnsi="Arial"/>
          <w:noProof w:val="0"/>
          <w:rtl/>
        </w:rPr>
        <w:t>לטענתו, מרבית השותפים במקרקעין אינם עונים על הגדרת "קרוב" ואין מדובר במחלוקת שמקורה בסכסוך משפחה.</w:t>
      </w:r>
    </w:p>
    <w:p w:rsidR="00AB62C1" w:rsidRDefault="00AB62C1" w:rsidP="00AB62C1">
      <w:pPr>
        <w:spacing w:line="360" w:lineRule="auto"/>
        <w:jc w:val="both"/>
        <w:rPr>
          <w:rFonts w:ascii="Arial" w:hAnsi="Arial"/>
          <w:b/>
          <w:bCs/>
          <w:noProof w:val="0"/>
          <w:u w:val="single"/>
          <w:rtl/>
        </w:rPr>
      </w:pPr>
      <w:r>
        <w:rPr>
          <w:rFonts w:ascii="Arial" w:hAnsi="Arial"/>
          <w:b/>
          <w:bCs/>
          <w:noProof w:val="0"/>
          <w:u w:val="single"/>
          <w:rtl/>
        </w:rPr>
        <w:lastRenderedPageBreak/>
        <w:t>ביום 13.11.22 הוגשה תגובת המשיבים (</w:t>
      </w:r>
      <w:r w:rsidR="00496D6B" w:rsidRPr="00496D6B">
        <w:rPr>
          <w:rFonts w:ascii="Arial" w:hAnsi="Arial" w:hint="cs"/>
          <w:noProof w:val="0"/>
          <w:sz w:val="21"/>
          <w:szCs w:val="21"/>
          <w:u w:val="single"/>
          <w:rtl/>
        </w:rPr>
        <w:t>להלן:</w:t>
      </w:r>
      <w:r w:rsidR="00496D6B" w:rsidRPr="00496D6B">
        <w:rPr>
          <w:rFonts w:ascii="Arial" w:hAnsi="Arial" w:hint="cs"/>
          <w:b/>
          <w:bCs/>
          <w:noProof w:val="0"/>
          <w:sz w:val="21"/>
          <w:szCs w:val="21"/>
          <w:u w:val="single"/>
          <w:rtl/>
        </w:rPr>
        <w:t xml:space="preserve"> </w:t>
      </w:r>
      <w:r w:rsidR="00496D6B">
        <w:rPr>
          <w:rFonts w:ascii="Arial" w:hAnsi="Arial" w:hint="cs"/>
          <w:b/>
          <w:bCs/>
          <w:noProof w:val="0"/>
          <w:sz w:val="21"/>
          <w:szCs w:val="21"/>
          <w:u w:val="single"/>
          <w:rtl/>
        </w:rPr>
        <w:t>"</w:t>
      </w:r>
      <w:r w:rsidRPr="00496D6B">
        <w:rPr>
          <w:rFonts w:ascii="Arial" w:hAnsi="Arial"/>
          <w:b/>
          <w:bCs/>
          <w:noProof w:val="0"/>
          <w:sz w:val="21"/>
          <w:szCs w:val="21"/>
          <w:u w:val="single"/>
          <w:rtl/>
        </w:rPr>
        <w:t>התובעים</w:t>
      </w:r>
      <w:r w:rsidR="00496D6B">
        <w:rPr>
          <w:rFonts w:ascii="Arial" w:hAnsi="Arial" w:hint="cs"/>
          <w:b/>
          <w:bCs/>
          <w:noProof w:val="0"/>
          <w:sz w:val="21"/>
          <w:szCs w:val="21"/>
          <w:u w:val="single"/>
          <w:rtl/>
        </w:rPr>
        <w:t>"</w:t>
      </w:r>
      <w:r w:rsidRPr="00496D6B">
        <w:rPr>
          <w:rFonts w:ascii="Arial" w:hAnsi="Arial"/>
          <w:b/>
          <w:bCs/>
          <w:noProof w:val="0"/>
          <w:sz w:val="21"/>
          <w:szCs w:val="21"/>
          <w:u w:val="single"/>
          <w:rtl/>
        </w:rPr>
        <w:t>)</w:t>
      </w:r>
      <w:r>
        <w:rPr>
          <w:rFonts w:ascii="Arial" w:hAnsi="Arial"/>
          <w:b/>
          <w:bCs/>
          <w:noProof w:val="0"/>
          <w:u w:val="single"/>
          <w:rtl/>
        </w:rPr>
        <w:t xml:space="preserve"> לבקשה. </w:t>
      </w:r>
    </w:p>
    <w:p w:rsidR="00AB62C1" w:rsidRDefault="00AB62C1" w:rsidP="00D21398">
      <w:pPr>
        <w:spacing w:line="360" w:lineRule="auto"/>
        <w:jc w:val="both"/>
        <w:rPr>
          <w:rFonts w:ascii="Arial" w:hAnsi="Arial"/>
          <w:noProof w:val="0"/>
          <w:rtl/>
        </w:rPr>
      </w:pPr>
      <w:r>
        <w:rPr>
          <w:rFonts w:ascii="Arial" w:hAnsi="Arial"/>
          <w:noProof w:val="0"/>
          <w:rtl/>
        </w:rPr>
        <w:t xml:space="preserve">לטענתם, על </w:t>
      </w:r>
      <w:r w:rsidR="00496D6B">
        <w:rPr>
          <w:rFonts w:ascii="Arial" w:hAnsi="Arial" w:hint="cs"/>
          <w:noProof w:val="0"/>
          <w:rtl/>
        </w:rPr>
        <w:t xml:space="preserve">הנתבע </w:t>
      </w:r>
      <w:r>
        <w:rPr>
          <w:rFonts w:ascii="Arial" w:hAnsi="Arial"/>
          <w:noProof w:val="0"/>
          <w:rtl/>
        </w:rPr>
        <w:t xml:space="preserve">היה להגיש כתב הגנה. עוד לטענתם, טענת </w:t>
      </w:r>
      <w:r w:rsidR="00496D6B">
        <w:rPr>
          <w:rFonts w:ascii="Arial" w:hAnsi="Arial" w:hint="cs"/>
          <w:noProof w:val="0"/>
          <w:rtl/>
        </w:rPr>
        <w:t xml:space="preserve">הנתבע </w:t>
      </w:r>
      <w:r>
        <w:rPr>
          <w:rFonts w:ascii="Arial" w:hAnsi="Arial"/>
          <w:noProof w:val="0"/>
          <w:rtl/>
        </w:rPr>
        <w:t xml:space="preserve">לצורך בצירוף בעלי הזכויות מטרתה סרבול ההליך ומניעת פירוק השיתוף. </w:t>
      </w:r>
    </w:p>
    <w:p w:rsidR="00AB62C1" w:rsidRDefault="00AB62C1" w:rsidP="00AB62C1">
      <w:pPr>
        <w:spacing w:line="360" w:lineRule="auto"/>
        <w:jc w:val="both"/>
        <w:rPr>
          <w:rFonts w:ascii="Arial" w:hAnsi="Arial"/>
          <w:noProof w:val="0"/>
          <w:rtl/>
        </w:rPr>
      </w:pPr>
      <w:r>
        <w:rPr>
          <w:rFonts w:ascii="Arial" w:hAnsi="Arial"/>
          <w:noProof w:val="0"/>
          <w:rtl/>
        </w:rPr>
        <w:t xml:space="preserve">לטענתם, בשורה ארוכה של פס"ד הכריעו בתי המשפט שאמנם כאשר יש מס' שותפים בחלקה אחת </w:t>
      </w:r>
    </w:p>
    <w:p w:rsidR="00AB62C1" w:rsidRDefault="00AB62C1" w:rsidP="00AB62C1">
      <w:pPr>
        <w:spacing w:line="360" w:lineRule="auto"/>
        <w:jc w:val="both"/>
        <w:rPr>
          <w:rFonts w:ascii="Arial" w:hAnsi="Arial"/>
          <w:noProof w:val="0"/>
          <w:rtl/>
        </w:rPr>
      </w:pPr>
      <w:r>
        <w:rPr>
          <w:rFonts w:ascii="Arial" w:hAnsi="Arial"/>
          <w:noProof w:val="0"/>
          <w:rtl/>
        </w:rPr>
        <w:t xml:space="preserve">יש לצרף את כלל השותפים להליך אולם כלל זה סויג במקרים בהם החלקה מחולקת באופן חד ערכי </w:t>
      </w:r>
    </w:p>
    <w:p w:rsidR="00AB62C1" w:rsidRDefault="00AB62C1" w:rsidP="008B3760">
      <w:pPr>
        <w:spacing w:line="360" w:lineRule="auto"/>
        <w:jc w:val="both"/>
        <w:rPr>
          <w:rFonts w:ascii="Arial" w:hAnsi="Arial"/>
          <w:noProof w:val="0"/>
          <w:rtl/>
        </w:rPr>
      </w:pPr>
      <w:r>
        <w:rPr>
          <w:rFonts w:ascii="Arial" w:hAnsi="Arial"/>
          <w:noProof w:val="0"/>
          <w:rtl/>
        </w:rPr>
        <w:t>למגרשים תכנוניים בהתאם לתב"ע ולכל אחד מהמגרשים יש בעלים אחר (</w:t>
      </w:r>
      <w:r w:rsidRPr="00572A60">
        <w:rPr>
          <w:rFonts w:ascii="Arial" w:hAnsi="Arial"/>
          <w:noProof w:val="0"/>
          <w:sz w:val="21"/>
          <w:szCs w:val="21"/>
          <w:rtl/>
        </w:rPr>
        <w:t>ת"א 68657-11-20 וכן ת"א 70847-09-16</w:t>
      </w:r>
      <w:r>
        <w:rPr>
          <w:rFonts w:ascii="Arial" w:hAnsi="Arial"/>
          <w:noProof w:val="0"/>
          <w:rtl/>
        </w:rPr>
        <w:t xml:space="preserve">). לטענתם, </w:t>
      </w:r>
      <w:r w:rsidR="008B3760">
        <w:rPr>
          <w:rFonts w:ascii="Arial" w:hAnsi="Arial" w:hint="cs"/>
          <w:noProof w:val="0"/>
          <w:rtl/>
        </w:rPr>
        <w:t>בהתאם ל</w:t>
      </w:r>
      <w:r>
        <w:rPr>
          <w:rFonts w:ascii="Arial" w:hAnsi="Arial"/>
          <w:noProof w:val="0"/>
          <w:rtl/>
        </w:rPr>
        <w:t>תב"ע החלה</w:t>
      </w:r>
      <w:r w:rsidR="008B3760">
        <w:rPr>
          <w:rFonts w:ascii="Arial" w:hAnsi="Arial" w:hint="cs"/>
          <w:noProof w:val="0"/>
          <w:rtl/>
        </w:rPr>
        <w:t xml:space="preserve">, </w:t>
      </w:r>
      <w:r>
        <w:rPr>
          <w:rFonts w:ascii="Arial" w:hAnsi="Arial"/>
          <w:noProof w:val="0"/>
          <w:rtl/>
        </w:rPr>
        <w:t>המגרש נשוא הבקשה לפירוק שיתוף מוגדר כמגרש</w:t>
      </w:r>
      <w:r w:rsidR="008B3760">
        <w:rPr>
          <w:rFonts w:ascii="Arial" w:hAnsi="Arial" w:hint="cs"/>
          <w:noProof w:val="0"/>
          <w:rtl/>
        </w:rPr>
        <w:t xml:space="preserve"> </w:t>
      </w:r>
      <w:r w:rsidR="008B3760" w:rsidRPr="008B3760">
        <w:rPr>
          <w:rFonts w:ascii="Arial" w:hAnsi="Arial" w:hint="cs"/>
          <w:noProof w:val="0"/>
        </w:rPr>
        <w:t>X</w:t>
      </w:r>
      <w:r w:rsidR="008B3760">
        <w:rPr>
          <w:rFonts w:ascii="Arial" w:hAnsi="Arial" w:hint="cs"/>
          <w:noProof w:val="0"/>
          <w:rtl/>
        </w:rPr>
        <w:t xml:space="preserve">. </w:t>
      </w:r>
      <w:r>
        <w:rPr>
          <w:rFonts w:ascii="Arial" w:hAnsi="Arial"/>
          <w:noProof w:val="0"/>
          <w:rtl/>
        </w:rPr>
        <w:t xml:space="preserve">כלומר, עסקינן ביחידה תכנונית נפרדת המוכרת בתב"ע ואין כל סיבה לצרף את יתר בעלי המגרשים בחלקה. </w:t>
      </w:r>
    </w:p>
    <w:p w:rsidR="00AB62C1" w:rsidRDefault="00AB62C1" w:rsidP="00496D6B">
      <w:pPr>
        <w:spacing w:line="360" w:lineRule="auto"/>
        <w:jc w:val="both"/>
        <w:rPr>
          <w:rFonts w:ascii="Arial" w:hAnsi="Arial"/>
          <w:noProof w:val="0"/>
          <w:rtl/>
        </w:rPr>
      </w:pPr>
      <w:r>
        <w:rPr>
          <w:rFonts w:ascii="Arial" w:hAnsi="Arial"/>
          <w:noProof w:val="0"/>
          <w:rtl/>
        </w:rPr>
        <w:t xml:space="preserve">עוד לטענתם, </w:t>
      </w:r>
      <w:r w:rsidR="00496D6B">
        <w:rPr>
          <w:rFonts w:ascii="Arial" w:hAnsi="Arial" w:hint="cs"/>
          <w:noProof w:val="0"/>
          <w:rtl/>
        </w:rPr>
        <w:t xml:space="preserve">הנתבע </w:t>
      </w:r>
      <w:r>
        <w:rPr>
          <w:rFonts w:ascii="Arial" w:hAnsi="Arial"/>
          <w:noProof w:val="0"/>
          <w:rtl/>
        </w:rPr>
        <w:t xml:space="preserve">מנסה להימנע מלדון בפני מותב זה בפניו ידועים כל "הטריקים" שלו ואחיזת העיניים שהייתה בהתחלה כבר איננה ומשכך צפוי הדיון להיות קצר וענייני.  </w:t>
      </w:r>
    </w:p>
    <w:p w:rsidR="00AB62C1" w:rsidRDefault="00AB62C1" w:rsidP="00AB62C1">
      <w:pPr>
        <w:spacing w:line="360" w:lineRule="auto"/>
        <w:jc w:val="both"/>
        <w:rPr>
          <w:rFonts w:ascii="Arial" w:hAnsi="Arial"/>
          <w:noProof w:val="0"/>
          <w:rtl/>
        </w:rPr>
      </w:pPr>
    </w:p>
    <w:p w:rsidR="00AB62C1" w:rsidRDefault="00AB62C1" w:rsidP="008B3760">
      <w:pPr>
        <w:spacing w:line="360" w:lineRule="auto"/>
        <w:jc w:val="both"/>
        <w:rPr>
          <w:rFonts w:ascii="Arial" w:hAnsi="Arial"/>
          <w:noProof w:val="0"/>
          <w:rtl/>
        </w:rPr>
      </w:pPr>
      <w:r>
        <w:rPr>
          <w:rFonts w:ascii="Arial" w:hAnsi="Arial"/>
          <w:noProof w:val="0"/>
          <w:u w:val="single"/>
          <w:rtl/>
        </w:rPr>
        <w:t>ביום 21.11.22</w:t>
      </w:r>
      <w:r>
        <w:rPr>
          <w:rFonts w:ascii="Arial" w:hAnsi="Arial"/>
          <w:noProof w:val="0"/>
          <w:rtl/>
        </w:rPr>
        <w:t xml:space="preserve"> הודיע </w:t>
      </w:r>
      <w:r w:rsidR="00496D6B">
        <w:rPr>
          <w:rFonts w:ascii="Arial" w:hAnsi="Arial" w:hint="cs"/>
          <w:noProof w:val="0"/>
          <w:rtl/>
        </w:rPr>
        <w:t>הנתבע</w:t>
      </w:r>
      <w:r>
        <w:rPr>
          <w:rFonts w:ascii="Arial" w:hAnsi="Arial"/>
          <w:noProof w:val="0"/>
          <w:rtl/>
        </w:rPr>
        <w:t>, כי ביום 6.11.22 הוגשה לבימ"ש השלום תביעה לפירוק שיתוף במקרקעין</w:t>
      </w:r>
      <w:r w:rsidR="006C2FF1">
        <w:rPr>
          <w:rFonts w:ascii="Arial" w:hAnsi="Arial" w:hint="cs"/>
          <w:noProof w:val="0"/>
          <w:rtl/>
        </w:rPr>
        <w:t xml:space="preserve"> </w:t>
      </w:r>
      <w:r w:rsidR="008B3760">
        <w:rPr>
          <w:rFonts w:ascii="Arial" w:hAnsi="Arial" w:hint="cs"/>
          <w:noProof w:val="0"/>
          <w:rtl/>
        </w:rPr>
        <w:t xml:space="preserve">בה </w:t>
      </w:r>
      <w:r>
        <w:rPr>
          <w:rFonts w:ascii="Arial" w:hAnsi="Arial"/>
          <w:noProof w:val="0"/>
          <w:rtl/>
        </w:rPr>
        <w:t>נכללו כל הבעלים של החלקה לרבות הצדדים נשוא תיק זה</w:t>
      </w:r>
      <w:r w:rsidRPr="008B3760">
        <w:rPr>
          <w:rFonts w:ascii="Arial" w:hAnsi="Arial"/>
          <w:noProof w:val="0"/>
          <w:sz w:val="21"/>
          <w:szCs w:val="21"/>
          <w:rtl/>
        </w:rPr>
        <w:t xml:space="preserve">, </w:t>
      </w:r>
      <w:r>
        <w:rPr>
          <w:rFonts w:ascii="Arial" w:hAnsi="Arial"/>
          <w:noProof w:val="0"/>
          <w:rtl/>
        </w:rPr>
        <w:t xml:space="preserve">ואשר נפתח ע"י קרוב משפחתו של התובע1. </w:t>
      </w:r>
      <w:r w:rsidR="008B3760" w:rsidRPr="008B3760">
        <w:rPr>
          <w:rFonts w:ascii="Arial" w:hAnsi="Arial"/>
          <w:noProof w:val="0"/>
          <w:sz w:val="21"/>
          <w:szCs w:val="21"/>
          <w:rtl/>
        </w:rPr>
        <w:t>(צורף העתק כתב התביעה)</w:t>
      </w:r>
    </w:p>
    <w:p w:rsidR="00AB62C1" w:rsidRDefault="00AB62C1" w:rsidP="00AB62C1">
      <w:pPr>
        <w:spacing w:line="360" w:lineRule="auto"/>
        <w:jc w:val="both"/>
        <w:rPr>
          <w:rFonts w:ascii="Arial" w:hAnsi="Arial"/>
          <w:noProof w:val="0"/>
          <w:rtl/>
        </w:rPr>
      </w:pPr>
      <w:r>
        <w:rPr>
          <w:rFonts w:ascii="Arial" w:hAnsi="Arial"/>
          <w:noProof w:val="0"/>
          <w:rtl/>
        </w:rPr>
        <w:t xml:space="preserve">לטענתו, מעיון בכתב התביעה עולה, כי ידוע לתובע בהליך המתנהל בביהמ"ש השלום על ההליך דנן, והוא מתייחס אליו בתביעתו ואף טוען כי התביעה בבימ"ש השלום אינה באה כדי לפגוע בהליך דנן אלא להוסיף על תביעת התובעים כאן </w:t>
      </w:r>
      <w:r>
        <w:rPr>
          <w:rFonts w:ascii="Arial" w:hAnsi="Arial"/>
          <w:noProof w:val="0"/>
          <w:sz w:val="20"/>
          <w:szCs w:val="20"/>
          <w:rtl/>
        </w:rPr>
        <w:t>(סע' 69 ו-70 לכתב התביעה).</w:t>
      </w:r>
    </w:p>
    <w:p w:rsidR="00AB62C1" w:rsidRDefault="00AB62C1" w:rsidP="00AB62C1">
      <w:pPr>
        <w:spacing w:line="360" w:lineRule="auto"/>
        <w:jc w:val="both"/>
        <w:rPr>
          <w:rFonts w:ascii="Arial" w:hAnsi="Arial"/>
          <w:noProof w:val="0"/>
          <w:rtl/>
        </w:rPr>
      </w:pPr>
      <w:r>
        <w:rPr>
          <w:rFonts w:ascii="Arial" w:hAnsi="Arial"/>
          <w:noProof w:val="0"/>
          <w:rtl/>
        </w:rPr>
        <w:t xml:space="preserve">לטענתו, יוצא כי התובע בהליך בביהמ"ש שלום והתובעים כאן פועלים לכאורה בשיתוף פעולה, עושים דין לעצמם ומחלקים הסמכויות בין בתי המשפט כראות עיניהם, תוך בזבוז משאבים והעמדת הצדדים בסיכון מפני קבלת החלטות סותרות/מתנגשות וכל זאת בניגוד לדין. </w:t>
      </w:r>
    </w:p>
    <w:p w:rsidR="00AB62C1" w:rsidRDefault="00AB62C1" w:rsidP="00AB62C1">
      <w:pPr>
        <w:spacing w:line="360" w:lineRule="auto"/>
        <w:jc w:val="both"/>
        <w:rPr>
          <w:rFonts w:ascii="Arial" w:hAnsi="Arial"/>
          <w:noProof w:val="0"/>
          <w:rtl/>
        </w:rPr>
      </w:pPr>
      <w:r>
        <w:rPr>
          <w:rFonts w:ascii="Arial" w:hAnsi="Arial"/>
          <w:noProof w:val="0"/>
          <w:rtl/>
        </w:rPr>
        <w:t xml:space="preserve">לטענתו, מדובר באבסורד משפטי המצביע על חוסר תום לב. </w:t>
      </w:r>
    </w:p>
    <w:p w:rsidR="00AB62C1" w:rsidRDefault="00AB62C1" w:rsidP="00AB62C1">
      <w:pPr>
        <w:bidi w:val="0"/>
        <w:spacing w:line="360" w:lineRule="auto"/>
        <w:rPr>
          <w:rFonts w:ascii="Arial" w:hAnsi="Arial"/>
          <w:noProof w:val="0"/>
          <w:rtl/>
        </w:rPr>
      </w:pPr>
    </w:p>
    <w:p w:rsidR="00AB62C1" w:rsidRDefault="00AB62C1" w:rsidP="00AB62C1">
      <w:pPr>
        <w:spacing w:line="360" w:lineRule="auto"/>
        <w:jc w:val="both"/>
        <w:rPr>
          <w:rFonts w:ascii="Arial" w:hAnsi="Arial"/>
          <w:noProof w:val="0"/>
          <w:u w:val="single"/>
        </w:rPr>
      </w:pPr>
      <w:r>
        <w:rPr>
          <w:rFonts w:ascii="Arial" w:hAnsi="Arial"/>
          <w:noProof w:val="0"/>
          <w:u w:val="single"/>
          <w:rtl/>
        </w:rPr>
        <w:t xml:space="preserve">בהחלטתי מיום 22.11.22 הוריתי כדלקמן: </w:t>
      </w:r>
    </w:p>
    <w:p w:rsidR="00AB62C1" w:rsidRDefault="00AB62C1" w:rsidP="00AB62C1">
      <w:pPr>
        <w:spacing w:line="360" w:lineRule="auto"/>
        <w:jc w:val="both"/>
        <w:rPr>
          <w:rFonts w:ascii="Arial" w:hAnsi="Arial"/>
          <w:noProof w:val="0"/>
          <w:u w:val="single"/>
          <w:rtl/>
        </w:rPr>
      </w:pPr>
    </w:p>
    <w:p w:rsidR="00AB62C1" w:rsidRDefault="00AB62C1" w:rsidP="00AB62C1">
      <w:pPr>
        <w:spacing w:line="360" w:lineRule="auto"/>
        <w:ind w:left="567" w:right="567"/>
        <w:jc w:val="both"/>
        <w:rPr>
          <w:rFonts w:ascii="Arial" w:hAnsi="Arial"/>
          <w:b/>
          <w:bCs/>
          <w:noProof w:val="0"/>
          <w:rtl/>
        </w:rPr>
      </w:pPr>
      <w:r>
        <w:rPr>
          <w:rFonts w:ascii="Arial" w:hAnsi="Arial"/>
          <w:b/>
          <w:bCs/>
          <w:noProof w:val="0"/>
          <w:rtl/>
        </w:rPr>
        <w:t xml:space="preserve">"נוכח האמור בהודעה זו, בהינתן ההליך שננקט בבית משפט השלום שעניינו פירוק שיתוף בחלקה כולה, הצורך לכאורה בצירוף צדדים נוספים בעלי זכויות בחלקה,  והחשש ממתן החלטות סותרות, ובהינתן כי מקורו של הסכסוך בעתירה שבפני אינו דווקא ביחסים המשפחתיים (אלא סכסוך במקרקעין) – הרי שבהעדר עמדה אחרת של מי מהצדדים עד ליום 1.12.22 אורה על העברת תיק זה לשמיעה במאוחד עם התיק המתנהל בבית המשפט השלום." </w:t>
      </w:r>
    </w:p>
    <w:p w:rsidR="00AB62C1" w:rsidRDefault="00AB62C1" w:rsidP="00AB62C1">
      <w:pPr>
        <w:bidi w:val="0"/>
        <w:spacing w:line="360" w:lineRule="auto"/>
        <w:rPr>
          <w:rFonts w:ascii="Arial" w:hAnsi="Arial"/>
          <w:noProof w:val="0"/>
          <w:rtl/>
        </w:rPr>
      </w:pPr>
    </w:p>
    <w:p w:rsidR="00AB62C1" w:rsidRDefault="00AB62C1" w:rsidP="00AB62C1">
      <w:pPr>
        <w:spacing w:line="360" w:lineRule="auto"/>
        <w:jc w:val="both"/>
        <w:rPr>
          <w:rFonts w:ascii="Arial" w:hAnsi="Arial"/>
          <w:noProof w:val="0"/>
        </w:rPr>
      </w:pPr>
      <w:r>
        <w:rPr>
          <w:rFonts w:ascii="Arial" w:hAnsi="Arial"/>
          <w:noProof w:val="0"/>
          <w:u w:val="single"/>
          <w:rtl/>
        </w:rPr>
        <w:t>עפ"י עמדת התובעים</w:t>
      </w:r>
      <w:r>
        <w:rPr>
          <w:rFonts w:ascii="Arial" w:hAnsi="Arial"/>
          <w:noProof w:val="0"/>
          <w:rtl/>
        </w:rPr>
        <w:t xml:space="preserve"> (מיום 28.11.22)  - יש להכריע בסמכות עניינית ללא קשר להסכמות הצדדים; אין בקיומו של הליך אחר משום הכרח לברר תיק זה עמו שכן לטענתם המדובר ביחידה תכנונית אחת </w:t>
      </w:r>
    </w:p>
    <w:p w:rsidR="00AB62C1" w:rsidRDefault="00AB62C1" w:rsidP="00AB62C1">
      <w:pPr>
        <w:spacing w:line="360" w:lineRule="auto"/>
        <w:jc w:val="both"/>
        <w:rPr>
          <w:rFonts w:ascii="Arial" w:hAnsi="Arial"/>
          <w:noProof w:val="0"/>
          <w:rtl/>
        </w:rPr>
      </w:pPr>
      <w:r>
        <w:rPr>
          <w:rFonts w:ascii="Arial" w:hAnsi="Arial"/>
          <w:noProof w:val="0"/>
          <w:rtl/>
        </w:rPr>
        <w:lastRenderedPageBreak/>
        <w:t xml:space="preserve">ואין צורך בצירוף יתר בעלי הזכויות בחלקה, וכאשר עסקינן במגרשים שונים שאין ביניהם אפילו גבול משותף. לעמדתם, הם מותירים ההכרעה לעניין הסמכות לשק"ד ביהמ"ש, והם אינם מתנגדים להעברתו למותב אחר ובלבד שצו המניעה יישאר בתוקפו.   </w:t>
      </w:r>
    </w:p>
    <w:p w:rsidR="00AB62C1" w:rsidRDefault="00AB62C1" w:rsidP="00AB62C1">
      <w:pPr>
        <w:spacing w:line="360" w:lineRule="auto"/>
        <w:jc w:val="both"/>
        <w:rPr>
          <w:rFonts w:ascii="Arial" w:hAnsi="Arial"/>
          <w:noProof w:val="0"/>
          <w:rtl/>
        </w:rPr>
      </w:pPr>
    </w:p>
    <w:p w:rsidR="00AB62C1" w:rsidRDefault="00AB62C1" w:rsidP="00AB62C1">
      <w:pPr>
        <w:spacing w:line="360" w:lineRule="auto"/>
        <w:jc w:val="both"/>
        <w:rPr>
          <w:rFonts w:ascii="Arial" w:hAnsi="Arial"/>
          <w:noProof w:val="0"/>
          <w:rtl/>
        </w:rPr>
      </w:pPr>
      <w:r>
        <w:rPr>
          <w:rFonts w:ascii="Arial" w:hAnsi="Arial"/>
          <w:noProof w:val="0"/>
          <w:u w:val="single"/>
          <w:rtl/>
        </w:rPr>
        <w:t>לעמדת הנתבע</w:t>
      </w:r>
      <w:r>
        <w:rPr>
          <w:rFonts w:ascii="Arial" w:hAnsi="Arial"/>
          <w:noProof w:val="0"/>
          <w:rtl/>
        </w:rPr>
        <w:t xml:space="preserve"> (מיום 1.12.22) – יש להכריע בסוגיית העניינית, להיעתר לבקשתו לדחייה על הסף </w:t>
      </w:r>
    </w:p>
    <w:p w:rsidR="00AB62C1" w:rsidRDefault="00AB62C1" w:rsidP="00AB62C1">
      <w:pPr>
        <w:spacing w:line="360" w:lineRule="auto"/>
        <w:jc w:val="both"/>
        <w:rPr>
          <w:rFonts w:ascii="Arial" w:hAnsi="Arial"/>
          <w:noProof w:val="0"/>
          <w:rtl/>
        </w:rPr>
      </w:pPr>
      <w:r>
        <w:rPr>
          <w:rFonts w:ascii="Arial" w:hAnsi="Arial"/>
          <w:noProof w:val="0"/>
          <w:rtl/>
        </w:rPr>
        <w:t xml:space="preserve">וכפועל יוצא להבהיר כי צו המניעה בטל. לעמדתו, העברת התיק לבימ"ש השלום משמעה קיום שני </w:t>
      </w:r>
    </w:p>
    <w:p w:rsidR="00AB62C1" w:rsidRDefault="00AB62C1" w:rsidP="00AB62C1">
      <w:pPr>
        <w:spacing w:line="360" w:lineRule="auto"/>
        <w:jc w:val="both"/>
        <w:rPr>
          <w:rFonts w:ascii="Arial" w:hAnsi="Arial"/>
          <w:noProof w:val="0"/>
          <w:rtl/>
        </w:rPr>
      </w:pPr>
      <w:r>
        <w:rPr>
          <w:rFonts w:ascii="Arial" w:hAnsi="Arial"/>
          <w:noProof w:val="0"/>
          <w:rtl/>
        </w:rPr>
        <w:t xml:space="preserve">הליכים בפני אותה ערכאה וסטייה מהוראות הדין המחייבות כי דיון בפירוק שיתוף יכלול את מלוא הבעלים נוסף ליתר הטעמים המפורטים בבקשתו. </w:t>
      </w:r>
    </w:p>
    <w:p w:rsidR="00AB62C1" w:rsidRDefault="00AB62C1" w:rsidP="00AB62C1">
      <w:pPr>
        <w:spacing w:line="360" w:lineRule="auto"/>
        <w:jc w:val="both"/>
        <w:rPr>
          <w:rFonts w:ascii="Arial" w:hAnsi="Arial"/>
          <w:noProof w:val="0"/>
          <w:rtl/>
        </w:rPr>
      </w:pPr>
      <w:r>
        <w:rPr>
          <w:rFonts w:ascii="Arial" w:hAnsi="Arial"/>
          <w:noProof w:val="0"/>
          <w:rtl/>
        </w:rPr>
        <w:t xml:space="preserve"> </w:t>
      </w:r>
    </w:p>
    <w:p w:rsidR="00AB62C1" w:rsidRDefault="00AB62C1" w:rsidP="00AB62C1">
      <w:pPr>
        <w:spacing w:line="360" w:lineRule="auto"/>
        <w:jc w:val="both"/>
        <w:rPr>
          <w:rFonts w:ascii="Arial" w:hAnsi="Arial"/>
          <w:noProof w:val="0"/>
          <w:u w:val="single"/>
          <w:rtl/>
        </w:rPr>
      </w:pPr>
      <w:r>
        <w:rPr>
          <w:rFonts w:ascii="Arial" w:hAnsi="Arial"/>
          <w:noProof w:val="0"/>
          <w:u w:val="single"/>
          <w:rtl/>
        </w:rPr>
        <w:t xml:space="preserve">בהחלטתי מיום 11.12.22 הוריתי כדלקמן: </w:t>
      </w:r>
    </w:p>
    <w:p w:rsidR="00AB62C1" w:rsidRDefault="00AB62C1" w:rsidP="00AB62C1">
      <w:pPr>
        <w:spacing w:line="360" w:lineRule="auto"/>
        <w:jc w:val="both"/>
        <w:rPr>
          <w:rFonts w:ascii="Arial" w:hAnsi="Arial"/>
          <w:noProof w:val="0"/>
          <w:u w:val="single"/>
          <w:rtl/>
        </w:rPr>
      </w:pPr>
    </w:p>
    <w:p w:rsidR="00AB62C1" w:rsidRDefault="00AB62C1" w:rsidP="008B3760">
      <w:pPr>
        <w:spacing w:line="360" w:lineRule="auto"/>
        <w:ind w:left="567" w:right="567"/>
        <w:jc w:val="both"/>
        <w:rPr>
          <w:rFonts w:ascii="Arial" w:hAnsi="Arial"/>
          <w:b/>
          <w:bCs/>
          <w:noProof w:val="0"/>
          <w:rtl/>
        </w:rPr>
      </w:pPr>
      <w:r>
        <w:rPr>
          <w:rFonts w:ascii="Arial" w:hAnsi="Arial"/>
          <w:b/>
          <w:bCs/>
          <w:noProof w:val="0"/>
          <w:rtl/>
        </w:rPr>
        <w:t xml:space="preserve">"לאחר שעיינתי בעמדות הצדדים ובהינתן ההליך המתנהל בבימ"ש השלום ת.א. </w:t>
      </w:r>
      <w:r w:rsidR="008B3760">
        <w:rPr>
          <w:rFonts w:ascii="Arial" w:hAnsi="Arial" w:hint="cs"/>
          <w:b/>
          <w:bCs/>
          <w:noProof w:val="0"/>
          <w:rtl/>
        </w:rPr>
        <w:t xml:space="preserve">---   </w:t>
      </w:r>
      <w:r>
        <w:rPr>
          <w:rFonts w:ascii="Arial" w:hAnsi="Arial"/>
          <w:b/>
          <w:bCs/>
          <w:noProof w:val="0"/>
          <w:rtl/>
        </w:rPr>
        <w:t xml:space="preserve">בקשר עם החלקה כולה (אליו צורפו כל בעלי הזכויות בחלקה לרבות הצדדים להליך זה) ועל מנת למנוע תוצאות סותרות – מצאתי כי יש לעכב את בירור ההליך  שבפני עד למתן פס"ד בת.א. </w:t>
      </w:r>
      <w:r w:rsidR="008B3760">
        <w:rPr>
          <w:rFonts w:ascii="Arial" w:hAnsi="Arial" w:hint="cs"/>
          <w:b/>
          <w:bCs/>
          <w:noProof w:val="0"/>
          <w:rtl/>
        </w:rPr>
        <w:t xml:space="preserve">--- . </w:t>
      </w:r>
    </w:p>
    <w:p w:rsidR="00AB62C1" w:rsidRDefault="00AB62C1" w:rsidP="008B3760">
      <w:pPr>
        <w:spacing w:line="360" w:lineRule="auto"/>
        <w:ind w:left="567" w:right="567"/>
        <w:jc w:val="both"/>
        <w:rPr>
          <w:rFonts w:ascii="Arial" w:hAnsi="Arial"/>
          <w:b/>
          <w:bCs/>
          <w:noProof w:val="0"/>
          <w:rtl/>
        </w:rPr>
      </w:pPr>
      <w:r>
        <w:rPr>
          <w:rFonts w:ascii="Arial" w:hAnsi="Arial"/>
          <w:b/>
          <w:bCs/>
          <w:noProof w:val="0"/>
          <w:rtl/>
        </w:rPr>
        <w:t>עם מתן פס"ד בת.א.</w:t>
      </w:r>
      <w:r w:rsidR="008B3760">
        <w:rPr>
          <w:rFonts w:ascii="Arial" w:hAnsi="Arial" w:hint="cs"/>
          <w:b/>
          <w:bCs/>
          <w:noProof w:val="0"/>
          <w:rtl/>
        </w:rPr>
        <w:t xml:space="preserve"> --- </w:t>
      </w:r>
      <w:r>
        <w:rPr>
          <w:rFonts w:ascii="Arial" w:hAnsi="Arial"/>
          <w:b/>
          <w:bCs/>
          <w:noProof w:val="0"/>
          <w:rtl/>
        </w:rPr>
        <w:t xml:space="preserve">(אשר יוגש על ידי הצדדים סמוך לאחר הינתנו) יידון הליך זה (ככל ולא יתייתר). </w:t>
      </w:r>
    </w:p>
    <w:p w:rsidR="00AB62C1" w:rsidRDefault="00AB62C1" w:rsidP="008B3760">
      <w:pPr>
        <w:spacing w:line="360" w:lineRule="auto"/>
        <w:ind w:left="567" w:right="567"/>
        <w:jc w:val="both"/>
        <w:rPr>
          <w:rFonts w:ascii="Arial" w:hAnsi="Arial"/>
          <w:b/>
          <w:bCs/>
          <w:noProof w:val="0"/>
          <w:rtl/>
        </w:rPr>
      </w:pPr>
      <w:r>
        <w:rPr>
          <w:rFonts w:ascii="Arial" w:hAnsi="Arial"/>
          <w:b/>
          <w:bCs/>
          <w:noProof w:val="0"/>
          <w:rtl/>
        </w:rPr>
        <w:t xml:space="preserve">אציין כי במקרה של הימשכות ההליכים בת.א. </w:t>
      </w:r>
      <w:r w:rsidR="008B3760">
        <w:rPr>
          <w:rFonts w:ascii="Arial" w:hAnsi="Arial" w:hint="cs"/>
          <w:b/>
          <w:bCs/>
          <w:noProof w:val="0"/>
          <w:rtl/>
        </w:rPr>
        <w:t xml:space="preserve">--- </w:t>
      </w:r>
      <w:r>
        <w:rPr>
          <w:rFonts w:ascii="Arial" w:hAnsi="Arial"/>
          <w:b/>
          <w:bCs/>
          <w:noProof w:val="0"/>
          <w:rtl/>
        </w:rPr>
        <w:t xml:space="preserve">תישקל מחיקת הליך זה תוך מתן אפשרות להגישו בשנית. " </w:t>
      </w:r>
    </w:p>
    <w:p w:rsidR="00AB62C1" w:rsidRDefault="00AB62C1" w:rsidP="00AB62C1">
      <w:pPr>
        <w:spacing w:line="360" w:lineRule="auto"/>
        <w:jc w:val="both"/>
        <w:rPr>
          <w:rFonts w:ascii="Arial" w:hAnsi="Arial"/>
          <w:noProof w:val="0"/>
          <w:rtl/>
        </w:rPr>
      </w:pPr>
    </w:p>
    <w:p w:rsidR="00AB62C1" w:rsidRDefault="00AB62C1" w:rsidP="008B3760">
      <w:pPr>
        <w:spacing w:line="360" w:lineRule="auto"/>
        <w:jc w:val="both"/>
        <w:rPr>
          <w:rFonts w:ascii="David" w:hAnsi="David"/>
          <w:rtl/>
        </w:rPr>
      </w:pPr>
      <w:r>
        <w:rPr>
          <w:rFonts w:ascii="Arial" w:hAnsi="Arial"/>
          <w:noProof w:val="0"/>
          <w:rtl/>
        </w:rPr>
        <w:t xml:space="preserve">יש להוסיף, כי לבקשת התובעים, ניתן ביום 18.9.2022 ע"י כב' הרשמת הבכירה הדר, צו מניעה המורה לנתבע להימנע, </w:t>
      </w:r>
      <w:r>
        <w:rPr>
          <w:rFonts w:ascii="David" w:hAnsi="David"/>
          <w:rtl/>
        </w:rPr>
        <w:t>בעצמו או באמצעות מי מטעמו, מלבצע כל שינוי במקרקעין,  לרבות הוצאת מקרקעין אלו מחזקתו, מכירתם או שעבודם, או בכל דרך אחרת.</w:t>
      </w:r>
    </w:p>
    <w:p w:rsidR="00AB62C1" w:rsidRDefault="00AB62C1" w:rsidP="00AB62C1">
      <w:pPr>
        <w:spacing w:line="360" w:lineRule="auto"/>
        <w:jc w:val="both"/>
        <w:rPr>
          <w:rFonts w:ascii="David" w:hAnsi="David"/>
          <w:rtl/>
        </w:rPr>
      </w:pPr>
      <w:r>
        <w:rPr>
          <w:rFonts w:ascii="David" w:hAnsi="David"/>
          <w:rtl/>
        </w:rPr>
        <w:t xml:space="preserve">בקשת הנתבע לקבוע כי צו המניעה הזמני פקע – נדחתה ע"י כב' הרשמת בהחלטתה מיום 14.8.2023.  </w:t>
      </w:r>
    </w:p>
    <w:p w:rsidR="00AB62C1" w:rsidRDefault="00AB62C1" w:rsidP="00AB62C1">
      <w:pPr>
        <w:spacing w:line="360" w:lineRule="auto"/>
        <w:jc w:val="both"/>
        <w:rPr>
          <w:rFonts w:ascii="David" w:hAnsi="David"/>
          <w:u w:val="single"/>
          <w:rtl/>
        </w:rPr>
      </w:pPr>
    </w:p>
    <w:p w:rsidR="00AB62C1" w:rsidRDefault="00AB62C1" w:rsidP="008B3760">
      <w:pPr>
        <w:spacing w:line="360" w:lineRule="auto"/>
        <w:jc w:val="both"/>
        <w:rPr>
          <w:rFonts w:ascii="David" w:hAnsi="David"/>
          <w:rtl/>
        </w:rPr>
      </w:pPr>
      <w:r>
        <w:rPr>
          <w:rFonts w:ascii="David" w:hAnsi="David"/>
          <w:u w:val="single"/>
          <w:rtl/>
        </w:rPr>
        <w:t>ביום 2.7.2023</w:t>
      </w:r>
      <w:r>
        <w:rPr>
          <w:rFonts w:ascii="David" w:hAnsi="David"/>
          <w:rtl/>
        </w:rPr>
        <w:t xml:space="preserve"> הודיע התובע, כי </w:t>
      </w:r>
      <w:r>
        <w:rPr>
          <w:rFonts w:ascii="David" w:hAnsi="David"/>
          <w:u w:val="single"/>
          <w:rtl/>
        </w:rPr>
        <w:t>התביעה בבימ"ש השלום נמחקה</w:t>
      </w:r>
      <w:r>
        <w:rPr>
          <w:rFonts w:ascii="David" w:hAnsi="David"/>
          <w:rtl/>
        </w:rPr>
        <w:t xml:space="preserve">, ואף הבקשה לביטול המחיקה – נדחתה, ועל כן מבוקש לקדם ההליך נשוא תיק זה. </w:t>
      </w:r>
    </w:p>
    <w:p w:rsidR="00AB62C1" w:rsidRDefault="00AB62C1" w:rsidP="00AB62C1">
      <w:pPr>
        <w:bidi w:val="0"/>
        <w:spacing w:line="360" w:lineRule="auto"/>
        <w:rPr>
          <w:rFonts w:ascii="David" w:hAnsi="David"/>
          <w:rtl/>
        </w:rPr>
      </w:pPr>
    </w:p>
    <w:p w:rsidR="00AB62C1" w:rsidRDefault="00AB62C1" w:rsidP="00AB62C1">
      <w:pPr>
        <w:spacing w:line="360" w:lineRule="auto"/>
        <w:jc w:val="both"/>
        <w:rPr>
          <w:rFonts w:ascii="David" w:hAnsi="David"/>
          <w:rtl/>
        </w:rPr>
      </w:pPr>
      <w:r>
        <w:rPr>
          <w:rFonts w:ascii="David" w:hAnsi="David"/>
          <w:rtl/>
        </w:rPr>
        <w:t xml:space="preserve">בתגובתו מיום </w:t>
      </w:r>
      <w:r>
        <w:rPr>
          <w:rFonts w:ascii="David" w:hAnsi="David"/>
          <w:u w:val="single"/>
          <w:rtl/>
        </w:rPr>
        <w:t>24.7.2023</w:t>
      </w:r>
      <w:r>
        <w:rPr>
          <w:rFonts w:ascii="David" w:hAnsi="David"/>
          <w:rtl/>
        </w:rPr>
        <w:t xml:space="preserve"> שב הנתבע והפנה לטענותיו בבקשתו לדחייה על הסף. </w:t>
      </w:r>
    </w:p>
    <w:p w:rsidR="00AB62C1" w:rsidRDefault="00AB62C1" w:rsidP="008B3760">
      <w:pPr>
        <w:spacing w:line="360" w:lineRule="auto"/>
        <w:jc w:val="both"/>
        <w:rPr>
          <w:rFonts w:ascii="David" w:hAnsi="David"/>
          <w:rtl/>
        </w:rPr>
      </w:pPr>
      <w:r>
        <w:rPr>
          <w:rFonts w:ascii="David" w:hAnsi="David"/>
          <w:rtl/>
        </w:rPr>
        <w:t xml:space="preserve">עוד לטענתו, ההליך </w:t>
      </w:r>
      <w:r w:rsidR="008B3760">
        <w:rPr>
          <w:rFonts w:ascii="David" w:hAnsi="David" w:hint="cs"/>
          <w:rtl/>
        </w:rPr>
        <w:t xml:space="preserve">בבימ"ש השלום </w:t>
      </w:r>
      <w:r>
        <w:rPr>
          <w:rFonts w:ascii="Arial" w:hAnsi="Arial"/>
          <w:noProof w:val="0"/>
          <w:rtl/>
        </w:rPr>
        <w:t xml:space="preserve">נמחק </w:t>
      </w:r>
      <w:r>
        <w:rPr>
          <w:rFonts w:ascii="David" w:hAnsi="David"/>
          <w:rtl/>
        </w:rPr>
        <w:t>מחמת אי צירוף יורשי בעלי הדין שהלכו לעולמם. לטענתו, מקום בו בימ"ש הגיע למסקנה כי יש לסלק ההליך מחמת אי צירוף יורשיהם של הבעלים הרשומים, לא ברור כיצד מבקשים התובעים להתגבר על הקושי והמחדל של אי צירוף כלל בעלי החלקה מלכתחילה.  (</w:t>
      </w:r>
      <w:r>
        <w:rPr>
          <w:rFonts w:ascii="David" w:hAnsi="David"/>
          <w:sz w:val="21"/>
          <w:szCs w:val="21"/>
          <w:rtl/>
        </w:rPr>
        <w:t xml:space="preserve">העתק פסה"ד </w:t>
      </w:r>
      <w:r w:rsidR="008B3760">
        <w:rPr>
          <w:rFonts w:ascii="David" w:hAnsi="David" w:hint="cs"/>
          <w:sz w:val="21"/>
          <w:szCs w:val="21"/>
          <w:rtl/>
        </w:rPr>
        <w:t>של בימ"ש השלום</w:t>
      </w:r>
      <w:r w:rsidR="008B3760">
        <w:rPr>
          <w:rFonts w:ascii="Arial" w:hAnsi="Arial" w:hint="cs"/>
          <w:noProof w:val="0"/>
          <w:sz w:val="21"/>
          <w:szCs w:val="21"/>
          <w:rtl/>
        </w:rPr>
        <w:t>, מפי כב' הש' חדיד,</w:t>
      </w:r>
      <w:r>
        <w:rPr>
          <w:rFonts w:ascii="Arial" w:hAnsi="Arial"/>
          <w:noProof w:val="0"/>
          <w:sz w:val="21"/>
          <w:szCs w:val="21"/>
          <w:rtl/>
        </w:rPr>
        <w:t xml:space="preserve"> </w:t>
      </w:r>
      <w:r>
        <w:rPr>
          <w:rFonts w:ascii="David" w:hAnsi="David"/>
          <w:sz w:val="21"/>
          <w:szCs w:val="21"/>
          <w:rtl/>
        </w:rPr>
        <w:t>צורף לתגובה</w:t>
      </w:r>
      <w:r>
        <w:rPr>
          <w:rFonts w:ascii="David" w:hAnsi="David"/>
          <w:rtl/>
        </w:rPr>
        <w:t xml:space="preserve">). </w:t>
      </w:r>
    </w:p>
    <w:p w:rsidR="00AB62C1" w:rsidRDefault="00AB62C1" w:rsidP="008B3760">
      <w:pPr>
        <w:spacing w:line="360" w:lineRule="auto"/>
        <w:jc w:val="both"/>
        <w:rPr>
          <w:rFonts w:ascii="David" w:hAnsi="David"/>
          <w:sz w:val="21"/>
          <w:szCs w:val="21"/>
          <w:rtl/>
        </w:rPr>
      </w:pPr>
      <w:r>
        <w:rPr>
          <w:rFonts w:ascii="David" w:hAnsi="David"/>
          <w:rtl/>
        </w:rPr>
        <w:t xml:space="preserve">לטענתו, עובר להליך </w:t>
      </w:r>
      <w:r w:rsidR="008B3760">
        <w:rPr>
          <w:rFonts w:ascii="David" w:hAnsi="David" w:hint="cs"/>
          <w:rtl/>
        </w:rPr>
        <w:t xml:space="preserve">בבימ"ש השלום התנהל הליך </w:t>
      </w:r>
      <w:r w:rsidR="008B3760" w:rsidRPr="008B3760">
        <w:rPr>
          <w:rFonts w:ascii="David" w:hAnsi="David" w:hint="cs"/>
          <w:b/>
          <w:bCs/>
          <w:rtl/>
        </w:rPr>
        <w:t>קודם</w:t>
      </w:r>
      <w:r w:rsidR="008B3760">
        <w:rPr>
          <w:rFonts w:ascii="David" w:hAnsi="David" w:hint="cs"/>
          <w:rtl/>
        </w:rPr>
        <w:t xml:space="preserve"> בו </w:t>
      </w:r>
      <w:r>
        <w:rPr>
          <w:rFonts w:ascii="David" w:hAnsi="David"/>
          <w:rtl/>
        </w:rPr>
        <w:t xml:space="preserve">עתר התובע שם לפירוק שיתוף בחלק </w:t>
      </w:r>
      <w:r w:rsidRPr="008B3760">
        <w:rPr>
          <w:rFonts w:ascii="David" w:hAnsi="David"/>
          <w:rtl/>
        </w:rPr>
        <w:t>מהחלקה נשוא תיק זה, המשותף לו ולצ"ג נוסף (</w:t>
      </w:r>
      <w:r w:rsidRPr="00EA2124">
        <w:rPr>
          <w:rFonts w:ascii="David" w:hAnsi="David"/>
          <w:sz w:val="21"/>
          <w:szCs w:val="21"/>
          <w:rtl/>
        </w:rPr>
        <w:t>ת.א.</w:t>
      </w:r>
      <w:r w:rsidR="008B3760" w:rsidRPr="00EA2124">
        <w:rPr>
          <w:rFonts w:ascii="David" w:hAnsi="David" w:hint="cs"/>
          <w:sz w:val="21"/>
          <w:szCs w:val="21"/>
          <w:rtl/>
        </w:rPr>
        <w:t>---</w:t>
      </w:r>
      <w:r w:rsidRPr="00EA2124">
        <w:rPr>
          <w:rFonts w:ascii="David" w:hAnsi="David"/>
          <w:sz w:val="21"/>
          <w:szCs w:val="21"/>
          <w:rtl/>
        </w:rPr>
        <w:t>)</w:t>
      </w:r>
      <w:r w:rsidRPr="008B3760">
        <w:rPr>
          <w:rFonts w:ascii="David" w:hAnsi="David"/>
          <w:rtl/>
        </w:rPr>
        <w:t xml:space="preserve"> – שם הורה ביהמ"ש לסלק התביעה על הסף </w:t>
      </w:r>
      <w:r w:rsidRPr="008B3760">
        <w:rPr>
          <w:rFonts w:ascii="David" w:hAnsi="David"/>
          <w:rtl/>
        </w:rPr>
        <w:lastRenderedPageBreak/>
        <w:t>בקובעו כי לא צורפו כלל בעלי הזכויות המחזיקים כנתבעים. (</w:t>
      </w:r>
      <w:r w:rsidRPr="008B3760">
        <w:rPr>
          <w:rFonts w:ascii="David" w:hAnsi="David"/>
          <w:sz w:val="21"/>
          <w:szCs w:val="21"/>
          <w:rtl/>
        </w:rPr>
        <w:t>העתק פסה"</w:t>
      </w:r>
      <w:r w:rsidR="008B3760" w:rsidRPr="008B3760">
        <w:rPr>
          <w:rFonts w:ascii="David" w:hAnsi="David" w:hint="cs"/>
          <w:sz w:val="21"/>
          <w:szCs w:val="21"/>
          <w:rtl/>
        </w:rPr>
        <w:t>ד בהליך הקודם</w:t>
      </w:r>
      <w:r w:rsidR="008B3760">
        <w:rPr>
          <w:rFonts w:ascii="David" w:hAnsi="David" w:hint="cs"/>
          <w:sz w:val="21"/>
          <w:szCs w:val="21"/>
          <w:rtl/>
        </w:rPr>
        <w:t xml:space="preserve">, מפי כב' הש' רובס, </w:t>
      </w:r>
      <w:r w:rsidRPr="008B3760">
        <w:rPr>
          <w:rFonts w:ascii="David" w:hAnsi="David"/>
          <w:sz w:val="21"/>
          <w:szCs w:val="21"/>
          <w:rtl/>
        </w:rPr>
        <w:t>צורף לתגובה)</w:t>
      </w:r>
      <w:r w:rsidR="008B3760">
        <w:rPr>
          <w:rFonts w:ascii="David" w:hAnsi="David" w:hint="cs"/>
          <w:sz w:val="21"/>
          <w:szCs w:val="21"/>
          <w:rtl/>
        </w:rPr>
        <w:t xml:space="preserve">. </w:t>
      </w:r>
      <w:r>
        <w:rPr>
          <w:rFonts w:ascii="David" w:hAnsi="David"/>
          <w:sz w:val="21"/>
          <w:szCs w:val="21"/>
          <w:rtl/>
        </w:rPr>
        <w:t xml:space="preserve"> </w:t>
      </w:r>
    </w:p>
    <w:p w:rsidR="00AB62C1" w:rsidRDefault="00AB62C1" w:rsidP="008B3760">
      <w:pPr>
        <w:spacing w:line="360" w:lineRule="auto"/>
        <w:jc w:val="both"/>
        <w:rPr>
          <w:rFonts w:ascii="David" w:hAnsi="David"/>
          <w:rtl/>
        </w:rPr>
      </w:pPr>
      <w:r>
        <w:rPr>
          <w:rFonts w:ascii="David" w:hAnsi="David"/>
          <w:rtl/>
        </w:rPr>
        <w:t xml:space="preserve">מכאן לטענתו, יש להסיק, כי לבימ"ש זה אין סמכות עניינית, שכן יהא צורך לצרף צדדים נוספים שאינם עונים על הגדרת הקרבה ונסיבות הסכסוך המקנה סמכות לבימ"ש לענייני משפחה. הנתבע אף להחלטה מיום 22.11.22 שם לטענתו הכריע כבר בימ"ש </w:t>
      </w:r>
      <w:r w:rsidR="008B3760">
        <w:rPr>
          <w:rFonts w:ascii="David" w:hAnsi="David" w:hint="cs"/>
          <w:rtl/>
        </w:rPr>
        <w:t xml:space="preserve">זה </w:t>
      </w:r>
      <w:r>
        <w:rPr>
          <w:rFonts w:ascii="David" w:hAnsi="David"/>
          <w:rtl/>
        </w:rPr>
        <w:t xml:space="preserve">כי אין המדובר בסכסוך שמקורו ביחסים משפחתיים אלא בסכסוך במקרקעין. </w:t>
      </w:r>
    </w:p>
    <w:p w:rsidR="00AB62C1" w:rsidRDefault="00AB62C1" w:rsidP="008B3760">
      <w:pPr>
        <w:spacing w:line="360" w:lineRule="auto"/>
        <w:jc w:val="both"/>
        <w:rPr>
          <w:rFonts w:ascii="David" w:hAnsi="David"/>
          <w:rtl/>
        </w:rPr>
      </w:pPr>
      <w:r>
        <w:rPr>
          <w:rFonts w:ascii="David" w:hAnsi="David"/>
          <w:rtl/>
        </w:rPr>
        <w:t xml:space="preserve">לטענתו, במספר שניתן </w:t>
      </w:r>
      <w:r w:rsidR="008B3760">
        <w:rPr>
          <w:rFonts w:ascii="David" w:hAnsi="David" w:hint="cs"/>
          <w:rtl/>
        </w:rPr>
        <w:t xml:space="preserve">למגרש </w:t>
      </w:r>
      <w:r>
        <w:rPr>
          <w:rFonts w:ascii="David" w:hAnsi="David"/>
          <w:rtl/>
        </w:rPr>
        <w:t xml:space="preserve">ע"י הועדה המרחבית לתכנון ובניה – אין כדי לבדל את המגרש מיתר המגרשים, ולהפוך אותו ל"יחידה תכנונית נפרדת", כטענת התובעים. לטענתו, ברור כי אין המדובר בפרצלציה כהגדרתה בחוק, כך שכלל הבעלים של החלקה נחשבים לשותפים במושע. לטענתו עוד, במסגרת בקשת התובעים להעברת חלק מהזכויות במגרש ביניהם, קיבל המגרש את המספר </w:t>
      </w:r>
      <w:r w:rsidR="008B3760">
        <w:rPr>
          <w:rFonts w:ascii="David" w:hAnsi="David" w:hint="cs"/>
        </w:rPr>
        <w:t xml:space="preserve">Y </w:t>
      </w:r>
      <w:r>
        <w:rPr>
          <w:rFonts w:ascii="David" w:hAnsi="David"/>
          <w:rtl/>
        </w:rPr>
        <w:t xml:space="preserve">והסתמכות על מספר המגרש כמפורט בתוכנית אינה רלוונטית.  </w:t>
      </w:r>
    </w:p>
    <w:p w:rsidR="00AB62C1" w:rsidRDefault="00AB62C1" w:rsidP="00AB62C1">
      <w:pPr>
        <w:spacing w:line="360" w:lineRule="auto"/>
        <w:jc w:val="both"/>
        <w:rPr>
          <w:rFonts w:ascii="David" w:hAnsi="David"/>
          <w:rtl/>
        </w:rPr>
      </w:pPr>
    </w:p>
    <w:p w:rsidR="00AB62C1" w:rsidRDefault="00AB62C1" w:rsidP="008B3760">
      <w:pPr>
        <w:spacing w:line="360" w:lineRule="auto"/>
        <w:jc w:val="both"/>
        <w:rPr>
          <w:rFonts w:ascii="David" w:hAnsi="David"/>
          <w:rtl/>
        </w:rPr>
      </w:pPr>
      <w:r>
        <w:rPr>
          <w:rFonts w:ascii="David" w:hAnsi="David"/>
          <w:rtl/>
        </w:rPr>
        <w:t xml:space="preserve">בתשובתם מיום </w:t>
      </w:r>
      <w:r>
        <w:rPr>
          <w:rFonts w:ascii="David" w:hAnsi="David"/>
          <w:u w:val="single"/>
          <w:rtl/>
        </w:rPr>
        <w:t>14.8.2023</w:t>
      </w:r>
      <w:r w:rsidRPr="008B3760">
        <w:rPr>
          <w:rFonts w:ascii="David" w:hAnsi="David"/>
          <w:rtl/>
        </w:rPr>
        <w:t>,</w:t>
      </w:r>
      <w:r w:rsidR="008B3760">
        <w:rPr>
          <w:rFonts w:ascii="David" w:hAnsi="David" w:hint="cs"/>
          <w:rtl/>
        </w:rPr>
        <w:t xml:space="preserve"> </w:t>
      </w:r>
      <w:r>
        <w:rPr>
          <w:rFonts w:ascii="David" w:hAnsi="David"/>
          <w:rtl/>
        </w:rPr>
        <w:t>שבו התובעים על טענתם,</w:t>
      </w:r>
      <w:r w:rsidR="008B3760">
        <w:rPr>
          <w:rFonts w:ascii="David" w:hAnsi="David" w:hint="cs"/>
          <w:rtl/>
        </w:rPr>
        <w:t xml:space="preserve"> </w:t>
      </w:r>
      <w:r>
        <w:rPr>
          <w:rFonts w:ascii="David" w:hAnsi="David"/>
          <w:rtl/>
        </w:rPr>
        <w:t>לפיה המדובר ביחידה תכנונית נפרדת  ועל כן אין צורך בצירוף כל בעלי החלקה (</w:t>
      </w:r>
      <w:r w:rsidRPr="008B3760">
        <w:rPr>
          <w:rFonts w:ascii="David" w:hAnsi="David"/>
          <w:sz w:val="21"/>
          <w:szCs w:val="21"/>
          <w:rtl/>
        </w:rPr>
        <w:t>ת.א. 70847-09-16</w:t>
      </w:r>
      <w:r>
        <w:rPr>
          <w:rFonts w:ascii="David" w:hAnsi="David"/>
          <w:rtl/>
        </w:rPr>
        <w:t>).</w:t>
      </w:r>
      <w:r w:rsidR="008B3760">
        <w:rPr>
          <w:rFonts w:ascii="David" w:hAnsi="David" w:hint="cs"/>
          <w:rtl/>
        </w:rPr>
        <w:t xml:space="preserve"> </w:t>
      </w:r>
      <w:r>
        <w:rPr>
          <w:rFonts w:ascii="David" w:hAnsi="David"/>
          <w:rtl/>
        </w:rPr>
        <w:t>לטענתם, מטרתו המוצהרת של הנתבע אינה לדאוג לכלל בעלי החלקה אלא למנוע בירור התביעה באמצעים טכניים שכן ברור לו כי צירוף כלל בעלי החלקות הינה משימה לא פשוטה שתעכב את ברור ההליך שנים ארוכות, ובתקופה זו יבקש לבצע עבודות ולקבוע עובדות בשטח. לטענתם עוד, מנסה נתבע להימנע מדיון נוסף בפני מותב זה, המודע ל"טריקים" ו"אחיזת העיניים</w:t>
      </w:r>
      <w:r w:rsidR="00D21398">
        <w:rPr>
          <w:rFonts w:ascii="David" w:hAnsi="David" w:hint="cs"/>
          <w:rtl/>
        </w:rPr>
        <w:t>"</w:t>
      </w:r>
      <w:r>
        <w:rPr>
          <w:rFonts w:ascii="David" w:hAnsi="David"/>
          <w:rtl/>
        </w:rPr>
        <w:t xml:space="preserve">, של הנתבע. </w:t>
      </w:r>
    </w:p>
    <w:p w:rsidR="00AB62C1" w:rsidRDefault="00AB62C1" w:rsidP="00AB62C1">
      <w:pPr>
        <w:spacing w:line="360" w:lineRule="auto"/>
        <w:jc w:val="both"/>
        <w:rPr>
          <w:rFonts w:ascii="David" w:hAnsi="David"/>
          <w:rtl/>
        </w:rPr>
      </w:pPr>
    </w:p>
    <w:p w:rsidR="00AB62C1" w:rsidRDefault="00AB62C1" w:rsidP="00AB62C1">
      <w:pPr>
        <w:spacing w:line="360" w:lineRule="auto"/>
        <w:jc w:val="both"/>
        <w:rPr>
          <w:rFonts w:ascii="Arial" w:hAnsi="Arial"/>
          <w:b/>
          <w:bCs/>
          <w:noProof w:val="0"/>
          <w:sz w:val="28"/>
          <w:szCs w:val="28"/>
          <w:u w:val="single"/>
          <w:rtl/>
        </w:rPr>
      </w:pPr>
      <w:r>
        <w:rPr>
          <w:rFonts w:ascii="Arial" w:hAnsi="Arial"/>
          <w:b/>
          <w:bCs/>
          <w:noProof w:val="0"/>
          <w:sz w:val="28"/>
          <w:szCs w:val="28"/>
          <w:u w:val="single"/>
          <w:rtl/>
        </w:rPr>
        <w:t xml:space="preserve">דיון והכרעה: </w:t>
      </w:r>
    </w:p>
    <w:p w:rsidR="00AB62C1" w:rsidRDefault="00AB62C1" w:rsidP="00AB62C1">
      <w:pPr>
        <w:pStyle w:val="ad"/>
        <w:spacing w:line="360" w:lineRule="auto"/>
        <w:jc w:val="both"/>
        <w:rPr>
          <w:rFonts w:ascii="David" w:hAnsi="David" w:cs="David"/>
          <w:sz w:val="24"/>
          <w:szCs w:val="24"/>
        </w:rPr>
      </w:pPr>
    </w:p>
    <w:p w:rsidR="00AB62C1" w:rsidRDefault="00AB62C1" w:rsidP="00AB62C1">
      <w:pPr>
        <w:pStyle w:val="ad"/>
        <w:numPr>
          <w:ilvl w:val="0"/>
          <w:numId w:val="1"/>
        </w:numPr>
        <w:spacing w:line="360" w:lineRule="auto"/>
        <w:jc w:val="both"/>
        <w:rPr>
          <w:rFonts w:ascii="David" w:hAnsi="David" w:cs="David"/>
          <w:sz w:val="24"/>
          <w:szCs w:val="24"/>
        </w:rPr>
      </w:pPr>
      <w:r>
        <w:rPr>
          <w:rFonts w:ascii="David" w:hAnsi="David" w:cs="David"/>
          <w:sz w:val="24"/>
          <w:szCs w:val="24"/>
          <w:rtl/>
        </w:rPr>
        <w:t>ראשית - הלכה היא, כי לא בנקל ייעתר ביהמ"ש לבקשה לסילוק על הסף ועליו לנהוג בזהירות עת  שימוש בסמכותו ליתן סעד זה, שכן החלטה כאמור, שוללת מהתובע את יומו בביהמ"ש:</w:t>
      </w:r>
    </w:p>
    <w:p w:rsidR="00AB62C1" w:rsidRDefault="00AB62C1" w:rsidP="00AB62C1">
      <w:pPr>
        <w:spacing w:line="360" w:lineRule="auto"/>
        <w:ind w:firstLine="720"/>
        <w:jc w:val="both"/>
        <w:rPr>
          <w:rFonts w:ascii="Arial" w:hAnsi="Arial"/>
          <w:noProof w:val="0"/>
          <w:rtl/>
        </w:rPr>
      </w:pPr>
      <w:r>
        <w:rPr>
          <w:rFonts w:ascii="Arial" w:hAnsi="Arial"/>
          <w:noProof w:val="0"/>
          <w:rtl/>
        </w:rPr>
        <w:t xml:space="preserve">"המדיניות השיפוטית הנוהגת נוקטת משנה זהירות בסילוק תביעה על הסף, על מנת </w:t>
      </w:r>
    </w:p>
    <w:p w:rsidR="00AB62C1" w:rsidRDefault="00AB62C1" w:rsidP="00AB62C1">
      <w:pPr>
        <w:spacing w:line="360" w:lineRule="auto"/>
        <w:ind w:left="720"/>
        <w:jc w:val="both"/>
        <w:rPr>
          <w:rFonts w:ascii="Arial" w:hAnsi="Arial"/>
          <w:noProof w:val="0"/>
        </w:rPr>
      </w:pPr>
      <w:r>
        <w:rPr>
          <w:rFonts w:ascii="Arial" w:hAnsi="Arial"/>
          <w:noProof w:val="0"/>
          <w:rtl/>
        </w:rPr>
        <w:t xml:space="preserve">שלא לפגוע בזכות הגישה לערכאות". </w:t>
      </w:r>
    </w:p>
    <w:p w:rsidR="00AB62C1" w:rsidRDefault="00AB62C1" w:rsidP="00AB62C1">
      <w:pPr>
        <w:spacing w:line="360" w:lineRule="auto"/>
        <w:ind w:left="720"/>
        <w:jc w:val="both"/>
        <w:rPr>
          <w:rFonts w:ascii="Arial" w:hAnsi="Arial"/>
          <w:noProof w:val="0"/>
          <w:sz w:val="22"/>
          <w:szCs w:val="22"/>
          <w:rtl/>
        </w:rPr>
      </w:pPr>
      <w:r>
        <w:rPr>
          <w:rFonts w:ascii="Arial" w:hAnsi="Arial"/>
          <w:noProof w:val="0"/>
          <w:rtl/>
        </w:rPr>
        <w:t xml:space="preserve"> </w:t>
      </w:r>
      <w:r>
        <w:rPr>
          <w:rFonts w:ascii="Arial" w:hAnsi="Arial"/>
          <w:noProof w:val="0"/>
          <w:sz w:val="22"/>
          <w:szCs w:val="22"/>
          <w:rtl/>
        </w:rPr>
        <w:t xml:space="preserve">ע"א 335/78 </w:t>
      </w:r>
      <w:r>
        <w:rPr>
          <w:rFonts w:ascii="Arial" w:hAnsi="Arial"/>
          <w:b/>
          <w:bCs/>
          <w:noProof w:val="0"/>
          <w:sz w:val="22"/>
          <w:szCs w:val="22"/>
          <w:rtl/>
        </w:rPr>
        <w:t>שאלתיאל נ' שני</w:t>
      </w:r>
      <w:r>
        <w:rPr>
          <w:rFonts w:ascii="Arial" w:hAnsi="Arial"/>
          <w:noProof w:val="0"/>
          <w:sz w:val="22"/>
          <w:szCs w:val="22"/>
          <w:rtl/>
        </w:rPr>
        <w:t xml:space="preserve"> פד"י ל"ו (2) 151 וכן: ע"א 35/83 </w:t>
      </w:r>
      <w:r>
        <w:rPr>
          <w:rFonts w:ascii="Arial" w:hAnsi="Arial"/>
          <w:b/>
          <w:bCs/>
          <w:noProof w:val="0"/>
          <w:sz w:val="22"/>
          <w:szCs w:val="22"/>
          <w:rtl/>
        </w:rPr>
        <w:t>חסין נ' פלדמן</w:t>
      </w:r>
      <w:r>
        <w:rPr>
          <w:rFonts w:ascii="Arial" w:hAnsi="Arial"/>
          <w:noProof w:val="0"/>
          <w:sz w:val="22"/>
          <w:szCs w:val="22"/>
          <w:rtl/>
        </w:rPr>
        <w:t xml:space="preserve"> פד"י ל"ז (4) 721.  </w:t>
      </w:r>
    </w:p>
    <w:p w:rsidR="00AB62C1" w:rsidRDefault="00AB62C1" w:rsidP="00AB62C1">
      <w:pPr>
        <w:spacing w:line="360" w:lineRule="auto"/>
        <w:ind w:left="720"/>
        <w:jc w:val="both"/>
        <w:rPr>
          <w:rFonts w:ascii="Arial" w:hAnsi="Arial"/>
          <w:noProof w:val="0"/>
          <w:sz w:val="22"/>
          <w:szCs w:val="22"/>
          <w:rtl/>
        </w:rPr>
      </w:pPr>
      <w:r>
        <w:rPr>
          <w:rFonts w:ascii="Arial" w:hAnsi="Arial"/>
          <w:noProof w:val="0"/>
          <w:sz w:val="22"/>
          <w:szCs w:val="22"/>
          <w:rtl/>
        </w:rPr>
        <w:t>י' זוסמן, סדרי הדין האזרחי, מהדורה שביעית, 1995 בעמ' 387.</w:t>
      </w:r>
    </w:p>
    <w:p w:rsidR="00AB62C1" w:rsidRDefault="00AB62C1" w:rsidP="00AB62C1">
      <w:pPr>
        <w:spacing w:line="360" w:lineRule="auto"/>
        <w:jc w:val="both"/>
        <w:rPr>
          <w:rFonts w:ascii="Arial" w:hAnsi="Arial"/>
          <w:noProof w:val="0"/>
          <w:rtl/>
        </w:rPr>
      </w:pPr>
      <w:r>
        <w:rPr>
          <w:rFonts w:ascii="Arial" w:hAnsi="Arial"/>
          <w:noProof w:val="0"/>
          <w:rtl/>
        </w:rPr>
        <w:tab/>
      </w:r>
    </w:p>
    <w:p w:rsidR="00AB62C1" w:rsidRDefault="00AB62C1" w:rsidP="00AB62C1">
      <w:pPr>
        <w:spacing w:line="360" w:lineRule="auto"/>
        <w:ind w:left="720"/>
        <w:jc w:val="both"/>
        <w:rPr>
          <w:rFonts w:ascii="Arial" w:hAnsi="Arial"/>
          <w:noProof w:val="0"/>
          <w:sz w:val="22"/>
          <w:szCs w:val="22"/>
          <w:rtl/>
        </w:rPr>
      </w:pPr>
      <w:r>
        <w:rPr>
          <w:rFonts w:ascii="Arial" w:hAnsi="Arial"/>
          <w:noProof w:val="0"/>
          <w:rtl/>
        </w:rPr>
        <w:t xml:space="preserve">מחיקה או דחייה על הסף של תביעה, הינם אמצעים קיצוניים הננקטים רק מקום שאין אפשרות ולו קלושה, כי התובע יזכה בסעד המבוקש, אפילו יוכחו מלוא הטענות הנטענות בכתב התביעה.  כל עוד קיים סיכוי כי במידה ויוכחו טענות התובע בתביעתו, הוא יכול לזכות בתביעתו- לא תסולק התביעה על הסף. </w:t>
      </w:r>
      <w:r>
        <w:rPr>
          <w:rFonts w:ascii="Arial" w:hAnsi="Arial"/>
          <w:noProof w:val="0"/>
          <w:sz w:val="22"/>
          <w:szCs w:val="22"/>
          <w:rtl/>
        </w:rPr>
        <w:t xml:space="preserve"> </w:t>
      </w:r>
    </w:p>
    <w:p w:rsidR="00AB62C1" w:rsidRDefault="00AB62C1" w:rsidP="00AB62C1">
      <w:pPr>
        <w:spacing w:line="360" w:lineRule="auto"/>
        <w:ind w:left="720"/>
        <w:jc w:val="both"/>
        <w:rPr>
          <w:rFonts w:ascii="Arial" w:hAnsi="Arial"/>
          <w:noProof w:val="0"/>
          <w:sz w:val="22"/>
          <w:szCs w:val="22"/>
          <w:rtl/>
        </w:rPr>
      </w:pPr>
      <w:r>
        <w:rPr>
          <w:rFonts w:ascii="Arial" w:hAnsi="Arial"/>
          <w:noProof w:val="0"/>
          <w:sz w:val="22"/>
          <w:szCs w:val="22"/>
          <w:rtl/>
        </w:rPr>
        <w:t xml:space="preserve">בר"ע 59/81 </w:t>
      </w:r>
      <w:r>
        <w:rPr>
          <w:rFonts w:ascii="Arial" w:hAnsi="Arial"/>
          <w:b/>
          <w:bCs/>
          <w:noProof w:val="0"/>
          <w:sz w:val="22"/>
          <w:szCs w:val="22"/>
          <w:rtl/>
        </w:rPr>
        <w:t>דורה ארדיטי נ' עיזבון יעקב ארדיטי</w:t>
      </w:r>
      <w:r>
        <w:rPr>
          <w:rFonts w:ascii="Arial" w:hAnsi="Arial"/>
          <w:noProof w:val="0"/>
          <w:sz w:val="22"/>
          <w:szCs w:val="22"/>
          <w:rtl/>
        </w:rPr>
        <w:t xml:space="preserve"> פדי ל"ה כרך 2 עמ' 811.</w:t>
      </w:r>
    </w:p>
    <w:p w:rsidR="00AB62C1" w:rsidRDefault="00AB62C1" w:rsidP="00AB62C1">
      <w:pPr>
        <w:spacing w:line="360" w:lineRule="auto"/>
        <w:jc w:val="both"/>
        <w:rPr>
          <w:rFonts w:ascii="David" w:hAnsi="David"/>
          <w:rtl/>
        </w:rPr>
      </w:pPr>
    </w:p>
    <w:p w:rsidR="00AB62C1" w:rsidRDefault="00AB62C1" w:rsidP="00AB62C1">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לאחר שעיינתי בטענות הצדדים, מצאתי כי יש לקבל את עתירת הנתבע ולהורות על סילוק התביעה על הסף מ- 2 טעמים, מצטברים:</w:t>
      </w:r>
    </w:p>
    <w:p w:rsidR="009B0F62" w:rsidRDefault="009B0F62" w:rsidP="009B0F62">
      <w:pPr>
        <w:pStyle w:val="ad"/>
        <w:spacing w:line="360" w:lineRule="auto"/>
        <w:jc w:val="both"/>
        <w:rPr>
          <w:rFonts w:ascii="David" w:hAnsi="David" w:cs="David"/>
          <w:sz w:val="24"/>
          <w:szCs w:val="24"/>
          <w:rtl/>
        </w:rPr>
      </w:pPr>
    </w:p>
    <w:p w:rsidR="00AB62C1" w:rsidRDefault="00AB62C1" w:rsidP="00AB62C1">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אי צירוף </w:t>
      </w:r>
      <w:r w:rsidR="009B0F62">
        <w:rPr>
          <w:rFonts w:ascii="David" w:hAnsi="David" w:cs="David"/>
          <w:sz w:val="24"/>
          <w:szCs w:val="24"/>
          <w:rtl/>
        </w:rPr>
        <w:t>כלל בעלי הזכויות בחלקה לתובענה.</w:t>
      </w:r>
    </w:p>
    <w:p w:rsidR="009B0F62" w:rsidRDefault="009B0F62" w:rsidP="009B0F62">
      <w:pPr>
        <w:pStyle w:val="ad"/>
        <w:spacing w:line="360" w:lineRule="auto"/>
        <w:ind w:left="1080"/>
        <w:jc w:val="both"/>
        <w:rPr>
          <w:rFonts w:ascii="David" w:hAnsi="David" w:cs="David"/>
          <w:sz w:val="24"/>
          <w:szCs w:val="24"/>
        </w:rPr>
      </w:pPr>
    </w:p>
    <w:p w:rsidR="00AB62C1" w:rsidRDefault="00AB62C1" w:rsidP="00AB62C1">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היעדר סמכותו של בימ"ש זה לדון בתובענה בעניינם של </w:t>
      </w:r>
      <w:r>
        <w:rPr>
          <w:rFonts w:ascii="David" w:hAnsi="David" w:cs="David"/>
          <w:b/>
          <w:bCs/>
          <w:sz w:val="24"/>
          <w:szCs w:val="24"/>
          <w:u w:val="single"/>
          <w:rtl/>
        </w:rPr>
        <w:t>כלל</w:t>
      </w:r>
      <w:r>
        <w:rPr>
          <w:rFonts w:ascii="David" w:hAnsi="David" w:cs="David"/>
          <w:sz w:val="24"/>
          <w:szCs w:val="24"/>
          <w:rtl/>
        </w:rPr>
        <w:t xml:space="preserve"> בעלי הזכויות בחלקה. </w:t>
      </w:r>
    </w:p>
    <w:p w:rsidR="00AB62C1" w:rsidRDefault="00AB62C1" w:rsidP="00AB62C1">
      <w:pPr>
        <w:spacing w:line="360" w:lineRule="auto"/>
        <w:jc w:val="both"/>
        <w:rPr>
          <w:rFonts w:ascii="David" w:hAnsi="David"/>
          <w:rtl/>
        </w:rPr>
      </w:pPr>
    </w:p>
    <w:p w:rsidR="00AB62C1" w:rsidRDefault="00AB62C1" w:rsidP="00AB62C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התובעים, המקרקעין בהם מדובר הינם יחידה תכנונית נפרדת, מעין יחידה אוטונומית </w:t>
      </w:r>
    </w:p>
    <w:p w:rsidR="00AB62C1" w:rsidRDefault="00AB62C1" w:rsidP="008B3760">
      <w:pPr>
        <w:pStyle w:val="ad"/>
        <w:spacing w:line="360" w:lineRule="auto"/>
        <w:jc w:val="both"/>
        <w:rPr>
          <w:rFonts w:ascii="David" w:hAnsi="David" w:cs="David"/>
          <w:sz w:val="24"/>
          <w:szCs w:val="24"/>
        </w:rPr>
      </w:pPr>
      <w:r>
        <w:rPr>
          <w:rFonts w:ascii="David" w:hAnsi="David" w:cs="David"/>
          <w:sz w:val="24"/>
          <w:szCs w:val="24"/>
          <w:rtl/>
        </w:rPr>
        <w:t>בחלקה - קביעה אליה הם מגיעים על יסוד תב"ע המחלקת את החלקה למגרשים (</w:t>
      </w:r>
      <w:r w:rsidRPr="008B3760">
        <w:rPr>
          <w:rFonts w:ascii="David" w:hAnsi="David" w:cs="David"/>
          <w:sz w:val="21"/>
          <w:szCs w:val="21"/>
          <w:rtl/>
        </w:rPr>
        <w:t>תוכנית</w:t>
      </w:r>
      <w:r w:rsidR="00D21398" w:rsidRPr="008B3760">
        <w:rPr>
          <w:rFonts w:ascii="David" w:hAnsi="David" w:cs="David" w:hint="cs"/>
          <w:sz w:val="21"/>
          <w:szCs w:val="21"/>
          <w:rtl/>
        </w:rPr>
        <w:t>---)</w:t>
      </w:r>
      <w:r w:rsidRPr="008B3760">
        <w:rPr>
          <w:rFonts w:ascii="David" w:hAnsi="David" w:cs="David"/>
          <w:sz w:val="21"/>
          <w:szCs w:val="21"/>
          <w:rtl/>
        </w:rPr>
        <w:t>.</w:t>
      </w:r>
      <w:r>
        <w:rPr>
          <w:rFonts w:ascii="David" w:hAnsi="David" w:cs="David"/>
          <w:sz w:val="24"/>
          <w:szCs w:val="24"/>
          <w:rtl/>
        </w:rPr>
        <w:t xml:space="preserve"> מכאן, לשיטתם, ניתן לדון בפירוק השיתוף במגרש הספציפי שבפנינו, במנותק מיתר במגרשים בחלקה וללא צירוף בעלי הזכויות בהם.  </w:t>
      </w:r>
    </w:p>
    <w:p w:rsidR="00AB62C1" w:rsidRDefault="00AB62C1" w:rsidP="00AB62C1">
      <w:pPr>
        <w:pStyle w:val="ad"/>
        <w:spacing w:line="360" w:lineRule="auto"/>
        <w:jc w:val="both"/>
        <w:rPr>
          <w:rFonts w:ascii="David" w:hAnsi="David" w:cs="David"/>
          <w:sz w:val="24"/>
          <w:szCs w:val="24"/>
        </w:rPr>
      </w:pPr>
    </w:p>
    <w:p w:rsidR="00AB62C1" w:rsidRDefault="00AB62C1" w:rsidP="00AB62C1">
      <w:pPr>
        <w:pStyle w:val="ad"/>
        <w:spacing w:line="360" w:lineRule="auto"/>
        <w:jc w:val="both"/>
        <w:rPr>
          <w:rFonts w:ascii="David" w:hAnsi="David" w:cs="David"/>
          <w:b/>
          <w:bCs/>
          <w:sz w:val="24"/>
          <w:szCs w:val="24"/>
          <w:rtl/>
        </w:rPr>
      </w:pPr>
      <w:r>
        <w:rPr>
          <w:rFonts w:ascii="David" w:hAnsi="David" w:cs="David"/>
          <w:sz w:val="24"/>
          <w:szCs w:val="24"/>
          <w:rtl/>
        </w:rPr>
        <w:t xml:space="preserve">ואולם, מעיון בפרטי התוכנית באתר רמ"י עולה כי חלוקת המגרשים בתב"ע עליה סומכים התובעים יהבם, </w:t>
      </w:r>
      <w:r>
        <w:rPr>
          <w:rFonts w:ascii="David" w:hAnsi="David" w:cs="David"/>
          <w:b/>
          <w:bCs/>
          <w:sz w:val="24"/>
          <w:szCs w:val="24"/>
          <w:rtl/>
        </w:rPr>
        <w:t xml:space="preserve">אינה חלוקה מחייבת. </w:t>
      </w:r>
    </w:p>
    <w:p w:rsidR="00AB62C1" w:rsidRDefault="00AB62C1" w:rsidP="00AB62C1">
      <w:pPr>
        <w:pStyle w:val="ad"/>
        <w:spacing w:line="360" w:lineRule="auto"/>
        <w:jc w:val="both"/>
        <w:rPr>
          <w:rFonts w:ascii="David" w:hAnsi="David" w:cs="David"/>
          <w:sz w:val="24"/>
          <w:szCs w:val="24"/>
          <w:rtl/>
        </w:rPr>
      </w:pPr>
      <w:r>
        <w:rPr>
          <w:rFonts w:ascii="David" w:hAnsi="David" w:cs="David"/>
          <w:sz w:val="24"/>
          <w:szCs w:val="24"/>
          <w:rtl/>
        </w:rPr>
        <w:t xml:space="preserve">ראה סע' 22 לתוכנית שכותרתו "חלוקה איחוד והשלמה":  </w:t>
      </w:r>
    </w:p>
    <w:p w:rsidR="00AB62C1" w:rsidRDefault="00AB62C1" w:rsidP="00AB62C1">
      <w:pPr>
        <w:pStyle w:val="ad"/>
        <w:spacing w:line="360" w:lineRule="auto"/>
        <w:jc w:val="both"/>
        <w:rPr>
          <w:rFonts w:ascii="David" w:hAnsi="David" w:cs="David"/>
          <w:sz w:val="24"/>
          <w:szCs w:val="24"/>
          <w:rtl/>
        </w:rPr>
      </w:pPr>
    </w:p>
    <w:p w:rsidR="00AB62C1" w:rsidRDefault="00AB62C1" w:rsidP="00AB62C1">
      <w:pPr>
        <w:pStyle w:val="ad"/>
        <w:spacing w:line="360" w:lineRule="auto"/>
        <w:jc w:val="both"/>
        <w:rPr>
          <w:rFonts w:ascii="David" w:hAnsi="David" w:cs="David"/>
          <w:sz w:val="24"/>
          <w:szCs w:val="24"/>
          <w:rtl/>
        </w:rPr>
      </w:pPr>
      <w:r>
        <w:rPr>
          <w:noProof/>
        </w:rPr>
        <w:drawing>
          <wp:inline distT="0" distB="0" distL="0" distR="0">
            <wp:extent cx="5400675" cy="809625"/>
            <wp:effectExtent l="0" t="0" r="9525"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809625"/>
                    </a:xfrm>
                    <a:prstGeom prst="rect">
                      <a:avLst/>
                    </a:prstGeom>
                    <a:noFill/>
                    <a:ln>
                      <a:noFill/>
                    </a:ln>
                  </pic:spPr>
                </pic:pic>
              </a:graphicData>
            </a:graphic>
          </wp:inline>
        </w:drawing>
      </w:r>
    </w:p>
    <w:p w:rsidR="00AB62C1" w:rsidRDefault="00AB62C1" w:rsidP="00AB62C1">
      <w:pPr>
        <w:pStyle w:val="ad"/>
        <w:spacing w:line="360" w:lineRule="auto"/>
        <w:jc w:val="both"/>
        <w:rPr>
          <w:rFonts w:ascii="David" w:hAnsi="David" w:cs="David"/>
          <w:sz w:val="24"/>
          <w:szCs w:val="24"/>
          <w:rtl/>
        </w:rPr>
      </w:pPr>
      <w:r>
        <w:rPr>
          <w:rFonts w:ascii="David" w:hAnsi="David" w:cs="David"/>
          <w:noProof/>
          <w:sz w:val="24"/>
          <w:szCs w:val="24"/>
        </w:rPr>
        <w:drawing>
          <wp:inline distT="0" distB="0" distL="0" distR="0">
            <wp:extent cx="4924425" cy="809625"/>
            <wp:effectExtent l="0" t="0" r="9525"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4425" cy="809625"/>
                    </a:xfrm>
                    <a:prstGeom prst="rect">
                      <a:avLst/>
                    </a:prstGeom>
                    <a:noFill/>
                    <a:ln>
                      <a:noFill/>
                    </a:ln>
                  </pic:spPr>
                </pic:pic>
              </a:graphicData>
            </a:graphic>
          </wp:inline>
        </w:drawing>
      </w:r>
    </w:p>
    <w:p w:rsidR="00AB62C1" w:rsidRDefault="00AB62C1" w:rsidP="00AB62C1">
      <w:pPr>
        <w:pStyle w:val="ad"/>
        <w:spacing w:line="360" w:lineRule="auto"/>
        <w:jc w:val="both"/>
        <w:rPr>
          <w:rFonts w:ascii="David" w:hAnsi="David" w:cs="David"/>
          <w:sz w:val="24"/>
          <w:szCs w:val="24"/>
          <w:rtl/>
        </w:rPr>
      </w:pPr>
    </w:p>
    <w:p w:rsidR="00AB62C1" w:rsidRDefault="00AB62C1" w:rsidP="008B3760">
      <w:pPr>
        <w:pStyle w:val="ad"/>
        <w:spacing w:line="360" w:lineRule="auto"/>
        <w:jc w:val="both"/>
        <w:rPr>
          <w:rFonts w:ascii="David" w:hAnsi="David" w:cs="David"/>
          <w:sz w:val="24"/>
          <w:szCs w:val="24"/>
          <w:rtl/>
        </w:rPr>
      </w:pPr>
      <w:r>
        <w:rPr>
          <w:rFonts w:ascii="David" w:hAnsi="David" w:cs="David"/>
          <w:sz w:val="24"/>
          <w:szCs w:val="24"/>
          <w:rtl/>
        </w:rPr>
        <w:t>יוער, כי גם בתוכנית מאוחרת יותר החלה על גו"ח בהם מצוי המגרש (</w:t>
      </w:r>
      <w:r w:rsidRPr="008B3760">
        <w:rPr>
          <w:rFonts w:ascii="David" w:hAnsi="David" w:cs="David"/>
          <w:sz w:val="21"/>
          <w:szCs w:val="21"/>
          <w:rtl/>
        </w:rPr>
        <w:t>תוכנית</w:t>
      </w:r>
      <w:r w:rsidR="00D21398" w:rsidRPr="008B3760">
        <w:rPr>
          <w:rFonts w:ascii="David" w:hAnsi="David" w:cs="David" w:hint="cs"/>
          <w:sz w:val="21"/>
          <w:szCs w:val="21"/>
          <w:rtl/>
        </w:rPr>
        <w:t xml:space="preserve">---  </w:t>
      </w:r>
      <w:r w:rsidRPr="008B3760">
        <w:rPr>
          <w:rFonts w:ascii="David" w:hAnsi="David" w:cs="David"/>
          <w:sz w:val="21"/>
          <w:szCs w:val="21"/>
          <w:rtl/>
        </w:rPr>
        <w:t>מיום 28.11.18</w:t>
      </w:r>
      <w:r>
        <w:rPr>
          <w:rFonts w:ascii="David" w:hAnsi="David" w:cs="David"/>
          <w:sz w:val="24"/>
          <w:szCs w:val="24"/>
          <w:rtl/>
        </w:rPr>
        <w:t>), צוין מפורשות כי המדובר בתוכנית  "</w:t>
      </w:r>
      <w:r>
        <w:rPr>
          <w:rFonts w:ascii="David" w:hAnsi="David" w:cs="David"/>
          <w:b/>
          <w:bCs/>
          <w:sz w:val="24"/>
          <w:szCs w:val="24"/>
          <w:rtl/>
        </w:rPr>
        <w:t>ללא איחוד וחלוקה</w:t>
      </w:r>
      <w:r>
        <w:rPr>
          <w:rFonts w:ascii="David" w:hAnsi="David" w:cs="David"/>
          <w:sz w:val="24"/>
          <w:szCs w:val="24"/>
          <w:rtl/>
        </w:rPr>
        <w:t xml:space="preserve">", ובדברי ההסבר נכתב: </w:t>
      </w:r>
    </w:p>
    <w:p w:rsidR="00AB62C1" w:rsidRDefault="00AB62C1" w:rsidP="00AB62C1">
      <w:pPr>
        <w:pStyle w:val="ad"/>
        <w:spacing w:line="360" w:lineRule="auto"/>
        <w:jc w:val="both"/>
        <w:rPr>
          <w:rFonts w:ascii="David" w:hAnsi="David" w:cs="David"/>
          <w:sz w:val="24"/>
          <w:szCs w:val="24"/>
          <w:rtl/>
        </w:rPr>
      </w:pPr>
      <w:r>
        <w:rPr>
          <w:rFonts w:ascii="David" w:hAnsi="David" w:cs="David"/>
          <w:noProof/>
          <w:sz w:val="24"/>
          <w:szCs w:val="24"/>
        </w:rPr>
        <w:drawing>
          <wp:inline distT="0" distB="0" distL="0" distR="0">
            <wp:extent cx="5229225" cy="790575"/>
            <wp:effectExtent l="0" t="0" r="952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225" cy="790575"/>
                    </a:xfrm>
                    <a:prstGeom prst="rect">
                      <a:avLst/>
                    </a:prstGeom>
                    <a:noFill/>
                    <a:ln>
                      <a:noFill/>
                    </a:ln>
                  </pic:spPr>
                </pic:pic>
              </a:graphicData>
            </a:graphic>
          </wp:inline>
        </w:drawing>
      </w:r>
    </w:p>
    <w:p w:rsidR="00AB62C1" w:rsidRDefault="00AB62C1" w:rsidP="00AB62C1">
      <w:pPr>
        <w:bidi w:val="0"/>
        <w:rPr>
          <w:rFonts w:ascii="David" w:eastAsiaTheme="minorHAnsi" w:hAnsi="David"/>
          <w:noProof w:val="0"/>
          <w:rtl/>
        </w:rPr>
      </w:pPr>
    </w:p>
    <w:p w:rsidR="00AB62C1" w:rsidRDefault="00AB62C1" w:rsidP="00AB62C1">
      <w:pPr>
        <w:pStyle w:val="ad"/>
        <w:spacing w:line="360" w:lineRule="auto"/>
        <w:jc w:val="both"/>
        <w:rPr>
          <w:rFonts w:ascii="David" w:hAnsi="David" w:cs="David"/>
          <w:sz w:val="24"/>
          <w:szCs w:val="24"/>
          <w:rtl/>
        </w:rPr>
      </w:pPr>
      <w:r>
        <w:rPr>
          <w:rFonts w:ascii="David" w:hAnsi="David" w:cs="David"/>
          <w:sz w:val="24"/>
          <w:szCs w:val="24"/>
          <w:rtl/>
        </w:rPr>
        <w:t xml:space="preserve">ראה גם סע' 9 לתוכנית הקובע את מטרתה כדלקמן: </w:t>
      </w:r>
    </w:p>
    <w:p w:rsidR="00D21398" w:rsidRDefault="00D21398" w:rsidP="00AB62C1">
      <w:pPr>
        <w:pStyle w:val="ad"/>
        <w:spacing w:line="360" w:lineRule="auto"/>
        <w:jc w:val="both"/>
        <w:rPr>
          <w:rFonts w:ascii="David" w:hAnsi="David" w:cs="David"/>
          <w:sz w:val="24"/>
          <w:szCs w:val="24"/>
          <w:rtl/>
        </w:rPr>
      </w:pPr>
    </w:p>
    <w:p w:rsidR="00D21398" w:rsidRPr="00D21398" w:rsidRDefault="00D21398" w:rsidP="00AB62C1">
      <w:pPr>
        <w:pStyle w:val="ad"/>
        <w:spacing w:line="360" w:lineRule="auto"/>
        <w:jc w:val="both"/>
        <w:rPr>
          <w:rFonts w:ascii="David" w:hAnsi="David" w:cs="David"/>
          <w:b/>
          <w:bCs/>
          <w:sz w:val="24"/>
          <w:szCs w:val="24"/>
          <w:rtl/>
        </w:rPr>
      </w:pPr>
      <w:r>
        <w:rPr>
          <w:rFonts w:ascii="David" w:hAnsi="David" w:cs="David" w:hint="cs"/>
          <w:b/>
          <w:bCs/>
          <w:sz w:val="24"/>
          <w:szCs w:val="24"/>
          <w:rtl/>
        </w:rPr>
        <w:t>"</w:t>
      </w:r>
      <w:r w:rsidRPr="00D21398">
        <w:rPr>
          <w:rFonts w:ascii="David" w:hAnsi="David" w:cs="David" w:hint="cs"/>
          <w:b/>
          <w:bCs/>
          <w:sz w:val="24"/>
          <w:szCs w:val="24"/>
          <w:rtl/>
        </w:rPr>
        <w:t xml:space="preserve">9. מטרת התוכנית </w:t>
      </w:r>
    </w:p>
    <w:p w:rsidR="00D21398" w:rsidRDefault="00D21398" w:rsidP="00D21398">
      <w:pPr>
        <w:pStyle w:val="ad"/>
        <w:spacing w:line="360" w:lineRule="auto"/>
        <w:ind w:firstLine="720"/>
        <w:jc w:val="both"/>
        <w:rPr>
          <w:rFonts w:ascii="David" w:hAnsi="David" w:cs="David"/>
          <w:b/>
          <w:bCs/>
          <w:sz w:val="24"/>
          <w:szCs w:val="24"/>
          <w:rtl/>
        </w:rPr>
      </w:pPr>
      <w:r w:rsidRPr="00D21398">
        <w:rPr>
          <w:rFonts w:ascii="David" w:hAnsi="David" w:cs="David" w:hint="cs"/>
          <w:b/>
          <w:bCs/>
          <w:sz w:val="24"/>
          <w:szCs w:val="24"/>
          <w:rtl/>
        </w:rPr>
        <w:t xml:space="preserve">9.1 הרחבת השטחים המיועדים לבניה ולמגורים ב--- על-פי צרכי פיתוח הכפר. </w:t>
      </w:r>
    </w:p>
    <w:p w:rsidR="00D21398" w:rsidRPr="00D21398" w:rsidRDefault="00D21398" w:rsidP="00D21398">
      <w:pPr>
        <w:pStyle w:val="ad"/>
        <w:spacing w:line="360" w:lineRule="auto"/>
        <w:ind w:firstLine="720"/>
        <w:jc w:val="both"/>
        <w:rPr>
          <w:rFonts w:ascii="David" w:hAnsi="David" w:cs="David"/>
          <w:b/>
          <w:bCs/>
          <w:sz w:val="24"/>
          <w:szCs w:val="24"/>
          <w:rtl/>
        </w:rPr>
      </w:pPr>
    </w:p>
    <w:p w:rsidR="00D21398" w:rsidRPr="00D21398" w:rsidRDefault="00D21398" w:rsidP="00D21398">
      <w:pPr>
        <w:pStyle w:val="ad"/>
        <w:spacing w:line="360" w:lineRule="auto"/>
        <w:ind w:left="1440"/>
        <w:jc w:val="both"/>
        <w:rPr>
          <w:rFonts w:ascii="David" w:hAnsi="David" w:cs="David"/>
          <w:b/>
          <w:bCs/>
          <w:sz w:val="24"/>
          <w:szCs w:val="24"/>
          <w:rtl/>
        </w:rPr>
      </w:pPr>
      <w:r w:rsidRPr="00D21398">
        <w:rPr>
          <w:rFonts w:ascii="David" w:hAnsi="David" w:cs="David" w:hint="cs"/>
          <w:b/>
          <w:bCs/>
          <w:sz w:val="24"/>
          <w:szCs w:val="24"/>
          <w:rtl/>
        </w:rPr>
        <w:t xml:space="preserve">9.2 הקצאת שטחים למגורים לכ- 780 יח"ד, לדרכים, לשבילים, וליעדים נוספים לרווחת תושבי הכפר ומבקריו. </w:t>
      </w:r>
    </w:p>
    <w:p w:rsidR="00D21398" w:rsidRPr="00D21398" w:rsidRDefault="00D21398" w:rsidP="00D21398">
      <w:pPr>
        <w:pStyle w:val="ad"/>
        <w:spacing w:line="360" w:lineRule="auto"/>
        <w:ind w:left="1440"/>
        <w:jc w:val="both"/>
        <w:rPr>
          <w:rFonts w:ascii="David" w:hAnsi="David" w:cs="David"/>
          <w:b/>
          <w:bCs/>
          <w:sz w:val="24"/>
          <w:szCs w:val="24"/>
          <w:rtl/>
        </w:rPr>
      </w:pPr>
      <w:r w:rsidRPr="00D21398">
        <w:rPr>
          <w:rFonts w:ascii="David" w:hAnsi="David" w:cs="David" w:hint="cs"/>
          <w:b/>
          <w:bCs/>
          <w:sz w:val="24"/>
          <w:szCs w:val="24"/>
          <w:rtl/>
        </w:rPr>
        <w:t xml:space="preserve">9.3 קביעת שימושים והוראות בניה בכל אחד מהאזורים השטחים הכלולים בתוכנית. </w:t>
      </w:r>
      <w:r>
        <w:rPr>
          <w:rFonts w:ascii="David" w:hAnsi="David" w:cs="David" w:hint="cs"/>
          <w:b/>
          <w:bCs/>
          <w:sz w:val="24"/>
          <w:szCs w:val="24"/>
          <w:rtl/>
        </w:rPr>
        <w:t>"</w:t>
      </w:r>
    </w:p>
    <w:p w:rsidR="00D21398" w:rsidRDefault="00D21398" w:rsidP="00AB62C1">
      <w:pPr>
        <w:pStyle w:val="ad"/>
        <w:spacing w:line="360" w:lineRule="auto"/>
        <w:jc w:val="both"/>
        <w:rPr>
          <w:rFonts w:ascii="David" w:hAnsi="David" w:cs="David"/>
          <w:sz w:val="24"/>
          <w:szCs w:val="24"/>
          <w:rtl/>
        </w:rPr>
      </w:pPr>
    </w:p>
    <w:p w:rsidR="00AB62C1" w:rsidRDefault="00AB62C1" w:rsidP="00AB62C1">
      <w:pPr>
        <w:pStyle w:val="ad"/>
        <w:spacing w:line="360" w:lineRule="auto"/>
        <w:jc w:val="both"/>
        <w:rPr>
          <w:rFonts w:ascii="David" w:hAnsi="David" w:cs="David"/>
          <w:sz w:val="24"/>
          <w:szCs w:val="24"/>
          <w:rtl/>
        </w:rPr>
      </w:pPr>
      <w:r>
        <w:rPr>
          <w:rFonts w:ascii="David" w:hAnsi="David" w:cs="David"/>
          <w:sz w:val="24"/>
          <w:szCs w:val="24"/>
          <w:rtl/>
        </w:rPr>
        <w:t xml:space="preserve">כך שלכאורה אין מדובר בתוכנית איחוד וחלוקה, ואין לראות בחלוקת המגרש סופית ומחייבת.  </w:t>
      </w:r>
    </w:p>
    <w:p w:rsidR="00AB62C1" w:rsidRDefault="00AB62C1" w:rsidP="00AB62C1">
      <w:pPr>
        <w:pStyle w:val="ad"/>
        <w:spacing w:line="360" w:lineRule="auto"/>
        <w:jc w:val="both"/>
        <w:rPr>
          <w:rFonts w:ascii="David" w:hAnsi="David" w:cs="David"/>
          <w:sz w:val="24"/>
          <w:szCs w:val="24"/>
          <w:rtl/>
        </w:rPr>
      </w:pPr>
    </w:p>
    <w:p w:rsidR="00AB62C1" w:rsidRDefault="00AB62C1" w:rsidP="00AB62C1">
      <w:pPr>
        <w:pStyle w:val="ad"/>
        <w:spacing w:line="360" w:lineRule="auto"/>
        <w:jc w:val="both"/>
        <w:rPr>
          <w:rFonts w:ascii="David" w:hAnsi="David" w:cs="David"/>
          <w:b/>
          <w:bCs/>
          <w:sz w:val="24"/>
          <w:szCs w:val="24"/>
          <w:rtl/>
        </w:rPr>
      </w:pPr>
      <w:r>
        <w:rPr>
          <w:rFonts w:ascii="David" w:hAnsi="David" w:cs="David"/>
          <w:sz w:val="24"/>
          <w:szCs w:val="24"/>
          <w:rtl/>
        </w:rPr>
        <w:t>התובעים סמכו יהבם על קביעת ביהמ"ש בת.א</w:t>
      </w:r>
      <w:r w:rsidR="008B3760">
        <w:rPr>
          <w:rFonts w:ascii="David" w:hAnsi="David" w:cs="David" w:hint="cs"/>
          <w:sz w:val="24"/>
          <w:szCs w:val="24"/>
          <w:rtl/>
        </w:rPr>
        <w:t xml:space="preserve"> </w:t>
      </w:r>
      <w:r>
        <w:rPr>
          <w:rFonts w:ascii="David" w:hAnsi="David" w:cs="David"/>
          <w:sz w:val="24"/>
          <w:szCs w:val="24"/>
          <w:rtl/>
        </w:rPr>
        <w:t xml:space="preserve">(ת"א) 70847-09-16 </w:t>
      </w:r>
      <w:r>
        <w:rPr>
          <w:rFonts w:ascii="David" w:hAnsi="David" w:cs="David"/>
          <w:b/>
          <w:bCs/>
          <w:sz w:val="24"/>
          <w:szCs w:val="24"/>
          <w:rtl/>
        </w:rPr>
        <w:t xml:space="preserve">קעניג ואח' נ' מרגו – חב' </w:t>
      </w:r>
    </w:p>
    <w:p w:rsidR="00AB62C1" w:rsidRPr="009B0F62" w:rsidRDefault="00AB62C1" w:rsidP="00AB62C1">
      <w:pPr>
        <w:pStyle w:val="ad"/>
        <w:spacing w:line="360" w:lineRule="auto"/>
        <w:jc w:val="both"/>
        <w:rPr>
          <w:rFonts w:ascii="David" w:hAnsi="David" w:cs="David"/>
          <w:sz w:val="24"/>
          <w:szCs w:val="24"/>
          <w:rtl/>
        </w:rPr>
      </w:pPr>
      <w:r w:rsidRPr="009B0F62">
        <w:rPr>
          <w:rFonts w:ascii="David" w:hAnsi="David" w:cs="David"/>
          <w:b/>
          <w:bCs/>
          <w:sz w:val="24"/>
          <w:szCs w:val="24"/>
          <w:rtl/>
        </w:rPr>
        <w:t>להשקעות ובנין בעמ ואח'</w:t>
      </w:r>
      <w:r w:rsidRPr="009B0F62">
        <w:rPr>
          <w:rFonts w:ascii="David" w:hAnsi="David" w:cs="David"/>
          <w:sz w:val="24"/>
          <w:szCs w:val="24"/>
          <w:rtl/>
        </w:rPr>
        <w:t xml:space="preserve"> [פורסם במאגר "נבו"</w:t>
      </w:r>
      <w:r w:rsidR="008B3760">
        <w:rPr>
          <w:rFonts w:ascii="David" w:hAnsi="David" w:cs="David" w:hint="cs"/>
          <w:sz w:val="24"/>
          <w:szCs w:val="24"/>
          <w:rtl/>
        </w:rPr>
        <w:t>] (11.1.18)</w:t>
      </w:r>
      <w:r w:rsidRPr="009B0F62">
        <w:rPr>
          <w:rFonts w:ascii="David" w:hAnsi="David" w:cs="David"/>
          <w:sz w:val="24"/>
          <w:szCs w:val="24"/>
          <w:rtl/>
        </w:rPr>
        <w:t xml:space="preserve">, ואולם סבורני כי אין בה כדי לסייע להם.  </w:t>
      </w:r>
    </w:p>
    <w:p w:rsidR="00AB62C1" w:rsidRDefault="00AB62C1" w:rsidP="00AB62C1">
      <w:pPr>
        <w:pStyle w:val="ad"/>
        <w:spacing w:line="360" w:lineRule="auto"/>
        <w:jc w:val="both"/>
        <w:rPr>
          <w:rFonts w:ascii="David" w:hAnsi="David" w:cs="David"/>
          <w:sz w:val="24"/>
          <w:szCs w:val="24"/>
          <w:rtl/>
        </w:rPr>
      </w:pPr>
      <w:r w:rsidRPr="009B0F62">
        <w:rPr>
          <w:rFonts w:ascii="David" w:hAnsi="David" w:cs="David"/>
          <w:sz w:val="24"/>
          <w:szCs w:val="24"/>
          <w:rtl/>
        </w:rPr>
        <w:t>בעניין קעניג, נדרש ביהמ"ש להכריע בשאלת סמכותו העניינית לדון בפירוק שיתוף במקרקעין שאינם רשומים בפנקסים – או שמא זו נתונה לבימ"ש המחוזי. כחלק מהכרעתו, נדרש ביהמ"ש לסיווג הזכויות (האם אובליגטוריות/ קנייניות), ומשמצא כי המדובר בזכויות קנייניות – בהינתן קביעת ביהמ"ש העליון ב-ב</w:t>
      </w:r>
      <w:hyperlink r:id="rId12" w:history="1">
        <w:r w:rsidRPr="009B0F62">
          <w:rPr>
            <w:rStyle w:val="Hyperlink"/>
            <w:rFonts w:ascii="David" w:hAnsi="David" w:cs="David"/>
            <w:color w:val="auto"/>
            <w:sz w:val="24"/>
            <w:szCs w:val="24"/>
            <w:u w:val="none"/>
            <w:rtl/>
          </w:rPr>
          <w:t>ר"ע 101/86 מוסא קדמאני נ' וסילה סלים אבו-אלחאג' ואח', מ</w:t>
        </w:r>
      </w:hyperlink>
      <w:r>
        <w:rPr>
          <w:rFonts w:ascii="David" w:hAnsi="David" w:cs="David"/>
          <w:sz w:val="24"/>
          <w:szCs w:val="24"/>
          <w:rtl/>
        </w:rPr>
        <w:t xml:space="preserve">(1) 613 (1986) 616, לפיה פירוק שיתוף לפי חוק המקרקעין יבוצע רק על חלקה שנרשמה על פי חוק  [ולכאורה, לא על מגרש שטרם נרשם כחלקה רישומית], קבע ביהמ"ש כי על דרך פרשנות וצמצום, ניתן לראות גם במגרש תכנוני בגדר יחידת מקרקעין שהינה מושא לפירוק שיתוף לפי חוק המקרקעין. </w:t>
      </w:r>
    </w:p>
    <w:p w:rsidR="00AB62C1" w:rsidRDefault="00AB62C1" w:rsidP="00AB62C1">
      <w:pPr>
        <w:pStyle w:val="ad"/>
        <w:spacing w:line="360" w:lineRule="auto"/>
        <w:jc w:val="both"/>
        <w:rPr>
          <w:rFonts w:ascii="David" w:hAnsi="David" w:cs="David"/>
          <w:sz w:val="24"/>
          <w:szCs w:val="24"/>
          <w:u w:val="single"/>
          <w:rtl/>
        </w:rPr>
      </w:pPr>
    </w:p>
    <w:p w:rsidR="00AB62C1" w:rsidRDefault="00AB62C1" w:rsidP="00AB62C1">
      <w:pPr>
        <w:pStyle w:val="ad"/>
        <w:spacing w:line="360" w:lineRule="auto"/>
        <w:jc w:val="both"/>
        <w:rPr>
          <w:rFonts w:ascii="David" w:hAnsi="David" w:cs="David"/>
          <w:sz w:val="24"/>
          <w:szCs w:val="24"/>
          <w:rtl/>
        </w:rPr>
      </w:pPr>
      <w:r>
        <w:rPr>
          <w:rFonts w:ascii="David" w:hAnsi="David" w:cs="David"/>
          <w:sz w:val="24"/>
          <w:szCs w:val="24"/>
          <w:rtl/>
        </w:rPr>
        <w:t xml:space="preserve">מבלי להידרש לשאלה, האם קביעה זו של בימ"ש שלום מחייבת – הרי שבעניינו, התובעים כלל לא צלחו את המשוכה הראשונית, והיא להוכיח כי המגרש שהם עותרים לפירוק השיתוף בו הינו אמנם יחידה תכנונית נפרדת. </w:t>
      </w:r>
    </w:p>
    <w:p w:rsidR="00AB62C1" w:rsidRDefault="00AB62C1" w:rsidP="00AB62C1">
      <w:pPr>
        <w:pStyle w:val="ad"/>
        <w:spacing w:line="360" w:lineRule="auto"/>
        <w:jc w:val="both"/>
        <w:rPr>
          <w:rFonts w:ascii="David" w:hAnsi="David" w:cs="David"/>
          <w:sz w:val="24"/>
          <w:szCs w:val="24"/>
          <w:rtl/>
        </w:rPr>
      </w:pPr>
    </w:p>
    <w:p w:rsidR="00AB62C1" w:rsidRDefault="00AB62C1" w:rsidP="00AB62C1">
      <w:pPr>
        <w:pStyle w:val="ad"/>
        <w:spacing w:line="360" w:lineRule="auto"/>
        <w:jc w:val="both"/>
        <w:rPr>
          <w:rFonts w:ascii="David" w:hAnsi="David" w:cs="David"/>
          <w:b/>
          <w:bCs/>
          <w:sz w:val="24"/>
          <w:szCs w:val="24"/>
          <w:rtl/>
        </w:rPr>
      </w:pPr>
      <w:r>
        <w:rPr>
          <w:rFonts w:ascii="David" w:hAnsi="David" w:cs="David"/>
          <w:b/>
          <w:bCs/>
          <w:sz w:val="24"/>
          <w:szCs w:val="24"/>
          <w:rtl/>
        </w:rPr>
        <w:t xml:space="preserve">נוכח האמור, לא ניתן לדון בעתירת התובעים לפירוק השיתוף במגרש, ללא צירוף כלל בעלי הזכויות בחלקה (השותפים במקרקעין), ודי בכך כדי למחוק התביעה. </w:t>
      </w:r>
    </w:p>
    <w:p w:rsidR="00AB62C1" w:rsidRDefault="00AB62C1" w:rsidP="00AB62C1">
      <w:pPr>
        <w:pStyle w:val="ad"/>
        <w:spacing w:line="360" w:lineRule="auto"/>
        <w:jc w:val="both"/>
        <w:rPr>
          <w:rFonts w:ascii="David" w:hAnsi="David" w:cs="David"/>
          <w:sz w:val="24"/>
          <w:szCs w:val="24"/>
          <w:rtl/>
        </w:rPr>
      </w:pPr>
    </w:p>
    <w:p w:rsidR="00AB62C1" w:rsidRDefault="00AB62C1" w:rsidP="00AB62C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כן לא מצאתי כי במקרה דנן, יש להתיר לתובעים לתקן את התביעה בדרך של הוספת יתר בעלי הזכויות בחלקה (תחת מחיקת ההליך) - בהיעדר סמכות לבימ"ש זה לדון בתובענה. </w:t>
      </w:r>
    </w:p>
    <w:p w:rsidR="00AB62C1" w:rsidRDefault="00AB62C1" w:rsidP="00AB62C1">
      <w:pPr>
        <w:pStyle w:val="ad"/>
        <w:spacing w:line="360" w:lineRule="auto"/>
        <w:jc w:val="both"/>
        <w:rPr>
          <w:rFonts w:ascii="David" w:hAnsi="David" w:cs="David"/>
          <w:sz w:val="24"/>
          <w:szCs w:val="24"/>
        </w:rPr>
      </w:pPr>
    </w:p>
    <w:p w:rsidR="00AB62C1" w:rsidRDefault="00AB62C1" w:rsidP="00AB62C1">
      <w:pPr>
        <w:spacing w:line="360" w:lineRule="auto"/>
        <w:ind w:left="720" w:hanging="720"/>
        <w:jc w:val="both"/>
        <w:rPr>
          <w:rFonts w:ascii="Arial" w:hAnsi="Arial"/>
          <w:noProof w:val="0"/>
          <w:rtl/>
        </w:rPr>
      </w:pPr>
      <w:r>
        <w:rPr>
          <w:rFonts w:ascii="Arial" w:hAnsi="Arial"/>
          <w:noProof w:val="0"/>
          <w:rtl/>
        </w:rPr>
        <w:tab/>
        <w:t xml:space="preserve">סמכות בית המשפט לענייני משפחה קבועה בסעיף 3 לחוק בית המשפט לענייני משפחה, תשנ"ה – 1995 </w:t>
      </w:r>
      <w:r>
        <w:rPr>
          <w:rFonts w:ascii="Arial" w:hAnsi="Arial"/>
          <w:noProof w:val="0"/>
          <w:sz w:val="20"/>
          <w:szCs w:val="20"/>
          <w:rtl/>
        </w:rPr>
        <w:t>(להלן: "</w:t>
      </w:r>
      <w:r>
        <w:rPr>
          <w:rFonts w:ascii="Arial" w:hAnsi="Arial"/>
          <w:b/>
          <w:bCs/>
          <w:noProof w:val="0"/>
          <w:sz w:val="20"/>
          <w:szCs w:val="20"/>
          <w:rtl/>
        </w:rPr>
        <w:t>החוק</w:t>
      </w:r>
      <w:r>
        <w:rPr>
          <w:rFonts w:ascii="Arial" w:hAnsi="Arial"/>
          <w:noProof w:val="0"/>
          <w:sz w:val="20"/>
          <w:szCs w:val="20"/>
          <w:rtl/>
        </w:rPr>
        <w:t>"),</w:t>
      </w:r>
      <w:r>
        <w:rPr>
          <w:rFonts w:ascii="Arial" w:hAnsi="Arial"/>
          <w:noProof w:val="0"/>
          <w:rtl/>
        </w:rPr>
        <w:t xml:space="preserve"> ולפיו בית משפט זה ידון "בענייני משפחה".</w:t>
      </w:r>
    </w:p>
    <w:p w:rsidR="00AB62C1" w:rsidRDefault="00AB62C1" w:rsidP="00AB62C1">
      <w:pPr>
        <w:spacing w:line="360" w:lineRule="auto"/>
        <w:ind w:left="720"/>
        <w:jc w:val="both"/>
        <w:rPr>
          <w:rFonts w:ascii="Arial" w:hAnsi="Arial"/>
          <w:noProof w:val="0"/>
          <w:rtl/>
        </w:rPr>
      </w:pPr>
    </w:p>
    <w:p w:rsidR="00AB62C1" w:rsidRDefault="00AB62C1" w:rsidP="00AB62C1">
      <w:pPr>
        <w:spacing w:line="360" w:lineRule="auto"/>
        <w:ind w:left="720"/>
        <w:jc w:val="both"/>
        <w:rPr>
          <w:rFonts w:ascii="Arial" w:hAnsi="Arial"/>
          <w:b/>
          <w:bCs/>
          <w:noProof w:val="0"/>
          <w:rtl/>
        </w:rPr>
      </w:pPr>
      <w:r>
        <w:rPr>
          <w:rFonts w:ascii="Arial" w:hAnsi="Arial"/>
          <w:noProof w:val="0"/>
          <w:rtl/>
        </w:rPr>
        <w:lastRenderedPageBreak/>
        <w:t>סעיף 1(2) לחוק קובע, כי בית המשפט לענייני משפחה, רשאי לדון ב</w:t>
      </w:r>
      <w:r>
        <w:rPr>
          <w:rFonts w:ascii="Arial" w:hAnsi="Arial"/>
          <w:b/>
          <w:bCs/>
          <w:noProof w:val="0"/>
          <w:rtl/>
        </w:rPr>
        <w:t xml:space="preserve">"תובענה אזרחית בין אדם או עזבונו לבין בן משפחתו, או עזבונו, שעילתה סכסוך בתוך המשפחה, יהא נושאה או שוויה אשר יהא". </w:t>
      </w:r>
    </w:p>
    <w:p w:rsidR="00AB62C1" w:rsidRDefault="00AB62C1" w:rsidP="00AB62C1">
      <w:pPr>
        <w:spacing w:line="360" w:lineRule="auto"/>
        <w:ind w:left="720"/>
        <w:jc w:val="both"/>
        <w:rPr>
          <w:rFonts w:ascii="Arial" w:hAnsi="Arial"/>
          <w:noProof w:val="0"/>
          <w:rtl/>
        </w:rPr>
      </w:pPr>
    </w:p>
    <w:p w:rsidR="00AB62C1" w:rsidRDefault="00AB62C1" w:rsidP="00AB62C1">
      <w:pPr>
        <w:spacing w:line="360" w:lineRule="auto"/>
        <w:ind w:left="720"/>
        <w:jc w:val="both"/>
        <w:rPr>
          <w:rFonts w:ascii="Arial" w:hAnsi="Arial"/>
          <w:noProof w:val="0"/>
          <w:rtl/>
        </w:rPr>
      </w:pPr>
      <w:r>
        <w:rPr>
          <w:rFonts w:ascii="Arial" w:hAnsi="Arial"/>
          <w:noProof w:val="0"/>
          <w:rtl/>
        </w:rPr>
        <w:t xml:space="preserve">לא כל תובענה אזרחית בין בני משפחה שעניינה סכסוך בתוך המשפחה היא בסמכותו העניינית של בית המשפט לענייני משפחה. </w:t>
      </w:r>
    </w:p>
    <w:p w:rsidR="00AB62C1" w:rsidRDefault="00AB62C1" w:rsidP="00AB62C1">
      <w:pPr>
        <w:spacing w:line="360" w:lineRule="auto"/>
        <w:ind w:left="720"/>
        <w:jc w:val="both"/>
        <w:rPr>
          <w:rFonts w:ascii="Arial" w:hAnsi="Arial"/>
          <w:b/>
          <w:bCs/>
          <w:noProof w:val="0"/>
          <w:rtl/>
        </w:rPr>
      </w:pPr>
    </w:p>
    <w:p w:rsidR="00AB62C1" w:rsidRDefault="00AB62C1" w:rsidP="00AB62C1">
      <w:pPr>
        <w:spacing w:line="360" w:lineRule="auto"/>
        <w:ind w:left="720"/>
        <w:jc w:val="both"/>
        <w:rPr>
          <w:rFonts w:ascii="Arial" w:hAnsi="Arial"/>
          <w:b/>
          <w:bCs/>
          <w:noProof w:val="0"/>
          <w:rtl/>
        </w:rPr>
      </w:pPr>
      <w:r>
        <w:rPr>
          <w:rFonts w:ascii="Arial" w:hAnsi="Arial"/>
          <w:b/>
          <w:bCs/>
          <w:noProof w:val="0"/>
          <w:rtl/>
        </w:rPr>
        <w:t xml:space="preserve">שני תנאים מצטברים מקנים את סמכות שיפוטו של בית משפט זה – זהות הצדדים ומהות הסכסוך. </w:t>
      </w:r>
      <w:r>
        <w:rPr>
          <w:rFonts w:ascii="Arial" w:hAnsi="Arial"/>
          <w:noProof w:val="0"/>
          <w:sz w:val="22"/>
          <w:szCs w:val="22"/>
          <w:rtl/>
        </w:rPr>
        <w:t xml:space="preserve">רע"א 6558/99‏ </w:t>
      </w:r>
      <w:r>
        <w:rPr>
          <w:rFonts w:ascii="Arial" w:hAnsi="Arial"/>
          <w:b/>
          <w:bCs/>
          <w:noProof w:val="0"/>
          <w:sz w:val="22"/>
          <w:szCs w:val="22"/>
          <w:rtl/>
        </w:rPr>
        <w:t>חבס נ' חבס</w:t>
      </w:r>
      <w:r>
        <w:rPr>
          <w:rFonts w:ascii="Arial" w:hAnsi="Arial"/>
          <w:noProof w:val="0"/>
          <w:sz w:val="22"/>
          <w:szCs w:val="22"/>
          <w:rtl/>
        </w:rPr>
        <w:t>, פ''ד נד(4) 337</w:t>
      </w:r>
    </w:p>
    <w:p w:rsidR="00AB62C1" w:rsidRDefault="00AB62C1" w:rsidP="00AB62C1">
      <w:pPr>
        <w:spacing w:line="360" w:lineRule="auto"/>
        <w:ind w:left="720"/>
        <w:jc w:val="both"/>
        <w:rPr>
          <w:rFonts w:ascii="Arial" w:hAnsi="Arial"/>
          <w:noProof w:val="0"/>
          <w:rtl/>
        </w:rPr>
      </w:pPr>
    </w:p>
    <w:p w:rsidR="00AB62C1" w:rsidRDefault="00AB62C1" w:rsidP="00AB62C1">
      <w:pPr>
        <w:spacing w:line="360" w:lineRule="auto"/>
        <w:ind w:left="720"/>
        <w:jc w:val="both"/>
        <w:rPr>
          <w:rFonts w:ascii="Arial" w:hAnsi="Arial"/>
          <w:noProof w:val="0"/>
          <w:rtl/>
        </w:rPr>
      </w:pPr>
      <w:r>
        <w:rPr>
          <w:rFonts w:ascii="Arial" w:hAnsi="Arial"/>
          <w:noProof w:val="0"/>
          <w:rtl/>
        </w:rPr>
        <w:t xml:space="preserve">כעולה מנסח רישום המקרקעין, בחלקה הנידונה קיימים למעלה מ- 30 בעלי זכויות. </w:t>
      </w:r>
    </w:p>
    <w:p w:rsidR="00AB62C1" w:rsidRDefault="00AB62C1" w:rsidP="00AB62C1">
      <w:pPr>
        <w:spacing w:line="360" w:lineRule="auto"/>
        <w:ind w:left="720"/>
        <w:jc w:val="both"/>
        <w:rPr>
          <w:rFonts w:ascii="David" w:hAnsi="David"/>
          <w:rtl/>
        </w:rPr>
      </w:pPr>
      <w:r>
        <w:rPr>
          <w:rFonts w:ascii="David" w:hAnsi="David"/>
          <w:rtl/>
        </w:rPr>
        <w:t xml:space="preserve">הגם כי אין מחלוקת כי הצדדים </w:t>
      </w:r>
      <w:r>
        <w:rPr>
          <w:rFonts w:ascii="David" w:hAnsi="David"/>
          <w:b/>
          <w:bCs/>
          <w:u w:val="single"/>
          <w:rtl/>
        </w:rPr>
        <w:t>להליך זה</w:t>
      </w:r>
      <w:r>
        <w:rPr>
          <w:rFonts w:ascii="David" w:hAnsi="David"/>
          <w:rtl/>
        </w:rPr>
        <w:t xml:space="preserve"> הינם בני משפחה בהתאם להגדרת החוק, הרי שלא ניטען כי יתר בעלי הזכויות בחלקה הינם "בני משפחה" כהגדרת החוק, לא כל שכן כי מערכת היחסים המשפחתית תרמה לגיבוש עילת התביעה. </w:t>
      </w:r>
    </w:p>
    <w:p w:rsidR="00AB62C1" w:rsidRDefault="00AB62C1" w:rsidP="00AB62C1">
      <w:pPr>
        <w:spacing w:line="360" w:lineRule="auto"/>
        <w:ind w:left="720"/>
        <w:jc w:val="both"/>
        <w:rPr>
          <w:rFonts w:ascii="David" w:hAnsi="David"/>
          <w:rtl/>
        </w:rPr>
      </w:pPr>
    </w:p>
    <w:p w:rsidR="00AB62C1" w:rsidRDefault="00AB62C1" w:rsidP="00AB62C1">
      <w:pPr>
        <w:spacing w:line="360" w:lineRule="auto"/>
        <w:ind w:left="720"/>
        <w:jc w:val="both"/>
        <w:rPr>
          <w:rFonts w:ascii="David" w:hAnsi="David"/>
          <w:rtl/>
        </w:rPr>
      </w:pPr>
      <w:r>
        <w:rPr>
          <w:rFonts w:ascii="David" w:hAnsi="David"/>
          <w:rtl/>
        </w:rPr>
        <w:t>נקבע כי ככל שמעורבים יותר גורמים שאינם "בני משפחה" כך גוברת הנטייה לראות את ההליך ככזה שעילתו אינה סכסוך בתוך המשפחה (</w:t>
      </w:r>
      <w:r>
        <w:rPr>
          <w:rFonts w:ascii="David" w:hAnsi="David"/>
          <w:sz w:val="21"/>
          <w:szCs w:val="21"/>
          <w:rtl/>
        </w:rPr>
        <w:t xml:space="preserve">ראה: תא (ראשל"צ) 9438-05-16 </w:t>
      </w:r>
      <w:r>
        <w:rPr>
          <w:rFonts w:ascii="David" w:hAnsi="David"/>
          <w:b/>
          <w:bCs/>
          <w:sz w:val="21"/>
          <w:szCs w:val="21"/>
          <w:rtl/>
        </w:rPr>
        <w:t>נועה אייזיק נ' הדר גולדשלגר</w:t>
      </w:r>
      <w:r>
        <w:rPr>
          <w:rFonts w:ascii="David" w:hAnsi="David"/>
          <w:sz w:val="21"/>
          <w:szCs w:val="21"/>
          <w:rtl/>
        </w:rPr>
        <w:t xml:space="preserve"> [פורסם במאגר "נבו"](24.11.17) והפסיקה המאוזכרת שם)</w:t>
      </w:r>
      <w:r>
        <w:rPr>
          <w:rFonts w:ascii="David" w:hAnsi="David"/>
          <w:rtl/>
        </w:rPr>
        <w:t xml:space="preserve">. </w:t>
      </w:r>
    </w:p>
    <w:p w:rsidR="00AB62C1" w:rsidRDefault="00AB62C1" w:rsidP="00AB62C1">
      <w:pPr>
        <w:spacing w:line="360" w:lineRule="auto"/>
        <w:ind w:left="720"/>
        <w:jc w:val="both"/>
        <w:rPr>
          <w:rFonts w:ascii="David" w:hAnsi="David"/>
          <w:rtl/>
        </w:rPr>
      </w:pPr>
    </w:p>
    <w:p w:rsidR="00AB62C1" w:rsidRDefault="00AB62C1" w:rsidP="00AB62C1">
      <w:pPr>
        <w:spacing w:line="360" w:lineRule="auto"/>
        <w:ind w:left="720"/>
        <w:jc w:val="both"/>
        <w:rPr>
          <w:rFonts w:ascii="Arial" w:hAnsi="Arial"/>
          <w:noProof w:val="0"/>
          <w:rtl/>
        </w:rPr>
      </w:pPr>
      <w:r>
        <w:rPr>
          <w:rFonts w:ascii="David" w:hAnsi="David"/>
          <w:rtl/>
        </w:rPr>
        <w:t xml:space="preserve">למעלה מן הצורך, לא מצאתי כי במקרה דנן יש לעשות שימוש בהוראות </w:t>
      </w:r>
      <w:r>
        <w:rPr>
          <w:rFonts w:ascii="Arial" w:hAnsi="Arial"/>
          <w:noProof w:val="0"/>
          <w:rtl/>
        </w:rPr>
        <w:t xml:space="preserve">סעיף 6(ו') לחוק המתיר לביהמ"ש לצרף לתובענה צ"ג הדרוש לבירור התובענה והכרעה בסכסוך. </w:t>
      </w:r>
    </w:p>
    <w:p w:rsidR="00AB62C1" w:rsidRDefault="00AB62C1" w:rsidP="00AB62C1">
      <w:pPr>
        <w:spacing w:line="360" w:lineRule="auto"/>
        <w:ind w:left="720"/>
        <w:jc w:val="both"/>
        <w:rPr>
          <w:rFonts w:ascii="David" w:hAnsi="David"/>
          <w:rtl/>
        </w:rPr>
      </w:pPr>
    </w:p>
    <w:p w:rsidR="00AB62C1" w:rsidRDefault="00AB62C1" w:rsidP="008B376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כן לא מצאתי, כי יש להורות על העברת ההליך לביהמ"ש השלום, נוכח קביעתו של הש' חדיד בהליך </w:t>
      </w:r>
      <w:r w:rsidR="008B3760">
        <w:rPr>
          <w:rFonts w:ascii="David" w:hAnsi="David" w:cs="David" w:hint="cs"/>
          <w:sz w:val="24"/>
          <w:szCs w:val="24"/>
          <w:rtl/>
        </w:rPr>
        <w:t xml:space="preserve">בבימ"ש השלום </w:t>
      </w:r>
      <w:r>
        <w:rPr>
          <w:rFonts w:ascii="David" w:hAnsi="David" w:cs="David"/>
          <w:sz w:val="24"/>
          <w:szCs w:val="24"/>
          <w:rtl/>
        </w:rPr>
        <w:t xml:space="preserve">(מיום 6.6.2023) לפיה טרם בשלו התנאים לדון בתביעה, מקום בו חלק מבעלי הזכויות הרשומים הלכו לעולמם, טרם הוצא אחריהם צו ירושה/קיום צוואה וטרם הובהרו יורשיהם.  </w:t>
      </w:r>
    </w:p>
    <w:p w:rsidR="00AB62C1" w:rsidRDefault="00AB62C1" w:rsidP="00AB62C1">
      <w:pPr>
        <w:pStyle w:val="ad"/>
        <w:spacing w:line="360" w:lineRule="auto"/>
        <w:jc w:val="both"/>
        <w:rPr>
          <w:rFonts w:ascii="David" w:hAnsi="David" w:cs="David"/>
          <w:sz w:val="24"/>
          <w:szCs w:val="24"/>
        </w:rPr>
      </w:pPr>
      <w:r>
        <w:rPr>
          <w:rFonts w:ascii="David" w:hAnsi="David" w:cs="David"/>
          <w:sz w:val="24"/>
          <w:szCs w:val="24"/>
          <w:rtl/>
        </w:rPr>
        <w:t xml:space="preserve">סבורני כי העברת התיק בשלב זה הינה השחתת זמנו של בימ"ש.  </w:t>
      </w:r>
    </w:p>
    <w:p w:rsidR="00AB62C1" w:rsidRDefault="00AB62C1" w:rsidP="00AB62C1">
      <w:pPr>
        <w:pStyle w:val="ad"/>
        <w:spacing w:line="360" w:lineRule="auto"/>
        <w:jc w:val="both"/>
        <w:rPr>
          <w:rFonts w:ascii="David" w:hAnsi="David" w:cs="David"/>
          <w:sz w:val="24"/>
          <w:szCs w:val="24"/>
        </w:rPr>
      </w:pPr>
    </w:p>
    <w:p w:rsidR="00AB62C1" w:rsidRDefault="00AB62C1" w:rsidP="00AB62C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 נעלמה מעיני טענת התובעים, לפיה צירוף הצדדים הנדרשים להליך עלול לארוך שנים, כאשר בינתיים הנתבע עשוי לקבוע עובדות בשטח. והגם האמור, אין בכך משום עילה, להותיר על כנו הליך עקר, שלא ניתן לנהל בפני בימ"ש זה שאינו מוסמך לדון בו, אך ורק על מנת להותיר על כנו צו מניעה זמני. </w:t>
      </w:r>
    </w:p>
    <w:p w:rsidR="00AB62C1" w:rsidRDefault="00AB62C1" w:rsidP="00AB62C1">
      <w:pPr>
        <w:pStyle w:val="ad"/>
        <w:spacing w:line="360" w:lineRule="auto"/>
        <w:jc w:val="both"/>
        <w:rPr>
          <w:rFonts w:ascii="David" w:hAnsi="David" w:cs="David"/>
          <w:sz w:val="24"/>
          <w:szCs w:val="24"/>
        </w:rPr>
      </w:pPr>
    </w:p>
    <w:p w:rsidR="00AB62C1" w:rsidRDefault="00AB62C1" w:rsidP="00AB62C1">
      <w:pPr>
        <w:pStyle w:val="ad"/>
        <w:spacing w:line="360" w:lineRule="auto"/>
        <w:jc w:val="both"/>
        <w:rPr>
          <w:rFonts w:ascii="David" w:hAnsi="David" w:cs="David"/>
          <w:sz w:val="24"/>
          <w:szCs w:val="24"/>
        </w:rPr>
      </w:pPr>
      <w:r>
        <w:rPr>
          <w:rFonts w:ascii="David" w:hAnsi="David" w:cs="David"/>
          <w:sz w:val="24"/>
          <w:szCs w:val="24"/>
          <w:rtl/>
        </w:rPr>
        <w:t xml:space="preserve">ברי כי על הצדדים לפעול בהתאם לתב"ע החלה והמפרטת את התנאים לקבלת היתר בניה ו/או ביצוע עבודות ובאופן חוקי בלבד בנוגע לכל בניה ו/או שינוי במקרקעין. </w:t>
      </w:r>
    </w:p>
    <w:p w:rsidR="00AB62C1" w:rsidRDefault="00AB62C1" w:rsidP="00AB62C1">
      <w:pPr>
        <w:pStyle w:val="ad"/>
        <w:spacing w:line="360" w:lineRule="auto"/>
        <w:jc w:val="both"/>
        <w:rPr>
          <w:rFonts w:ascii="David" w:hAnsi="David" w:cs="David"/>
          <w:sz w:val="24"/>
          <w:szCs w:val="24"/>
        </w:rPr>
      </w:pPr>
    </w:p>
    <w:p w:rsidR="00AB62C1" w:rsidRDefault="00AB62C1" w:rsidP="00AB62C1">
      <w:pPr>
        <w:pStyle w:val="ad"/>
        <w:numPr>
          <w:ilvl w:val="0"/>
          <w:numId w:val="1"/>
        </w:numPr>
        <w:spacing w:line="360" w:lineRule="auto"/>
        <w:jc w:val="both"/>
        <w:rPr>
          <w:rFonts w:ascii="David" w:hAnsi="David" w:cs="David"/>
          <w:sz w:val="24"/>
          <w:szCs w:val="24"/>
        </w:rPr>
      </w:pPr>
      <w:r>
        <w:rPr>
          <w:rFonts w:ascii="David" w:hAnsi="David" w:cs="David"/>
          <w:sz w:val="24"/>
          <w:szCs w:val="24"/>
          <w:rtl/>
        </w:rPr>
        <w:t>אשר על כן, הריני מורה על מחיקת התביעה.</w:t>
      </w:r>
    </w:p>
    <w:p w:rsidR="00AB62C1" w:rsidRDefault="00AB62C1" w:rsidP="00AB62C1">
      <w:pPr>
        <w:pStyle w:val="ad"/>
        <w:rPr>
          <w:rFonts w:ascii="David" w:hAnsi="David" w:cs="David"/>
          <w:sz w:val="24"/>
          <w:szCs w:val="24"/>
        </w:rPr>
      </w:pPr>
      <w:r>
        <w:rPr>
          <w:rFonts w:ascii="David" w:hAnsi="David" w:cs="David"/>
          <w:sz w:val="24"/>
          <w:szCs w:val="24"/>
          <w:rtl/>
        </w:rPr>
        <w:t xml:space="preserve">לפנים משורת הדין – אין צו להוצאות. </w:t>
      </w:r>
    </w:p>
    <w:p w:rsidR="00AB62C1" w:rsidRDefault="00AB62C1" w:rsidP="00AB62C1">
      <w:pPr>
        <w:pStyle w:val="ad"/>
        <w:rPr>
          <w:rFonts w:ascii="David" w:hAnsi="David" w:cs="David"/>
          <w:sz w:val="24"/>
          <w:szCs w:val="24"/>
          <w:highlight w:val="yellow"/>
          <w:rtl/>
        </w:rPr>
      </w:pPr>
    </w:p>
    <w:p w:rsidR="00AB62C1" w:rsidRDefault="00AB62C1" w:rsidP="00AB62C1">
      <w:pPr>
        <w:pStyle w:val="ad"/>
        <w:rPr>
          <w:rFonts w:ascii="David" w:hAnsi="David" w:cs="David"/>
          <w:sz w:val="24"/>
          <w:szCs w:val="24"/>
          <w:highlight w:val="yellow"/>
          <w:rtl/>
        </w:rPr>
      </w:pPr>
    </w:p>
    <w:p w:rsidR="00AB62C1" w:rsidRDefault="00AB62C1" w:rsidP="00AB62C1">
      <w:pPr>
        <w:spacing w:line="360" w:lineRule="auto"/>
        <w:jc w:val="both"/>
        <w:rPr>
          <w:rFonts w:ascii="Arial" w:hAnsi="Arial"/>
          <w:b/>
          <w:bCs/>
          <w:noProof w:val="0"/>
          <w:rtl/>
        </w:rPr>
      </w:pPr>
      <w:r>
        <w:rPr>
          <w:rFonts w:ascii="Arial" w:hAnsi="Arial"/>
          <w:b/>
          <w:bCs/>
          <w:noProof w:val="0"/>
          <w:rtl/>
        </w:rPr>
        <w:t xml:space="preserve">ההחלטה מותרת לפרסום בהשמטת כל פרט מזהה ובכפוף לתיקוני עריכה. </w:t>
      </w:r>
    </w:p>
    <w:p w:rsidR="00AB62C1" w:rsidRDefault="00AB62C1" w:rsidP="00AB62C1">
      <w:pPr>
        <w:spacing w:line="360" w:lineRule="auto"/>
        <w:jc w:val="both"/>
        <w:rPr>
          <w:rFonts w:ascii="Arial" w:hAnsi="Arial"/>
          <w:b/>
          <w:bCs/>
          <w:noProof w:val="0"/>
          <w:rtl/>
        </w:rPr>
      </w:pPr>
    </w:p>
    <w:p w:rsidR="00AB62C1" w:rsidRDefault="00AB62C1" w:rsidP="00AB62C1">
      <w:pPr>
        <w:spacing w:line="360" w:lineRule="auto"/>
        <w:jc w:val="both"/>
        <w:rPr>
          <w:rFonts w:ascii="Arial" w:hAnsi="Arial"/>
          <w:b/>
          <w:bCs/>
          <w:noProof w:val="0"/>
        </w:rPr>
      </w:pPr>
      <w:r>
        <w:rPr>
          <w:rFonts w:ascii="Arial" w:hAnsi="Arial"/>
          <w:b/>
          <w:bCs/>
          <w:noProof w:val="0"/>
          <w:rtl/>
        </w:rPr>
        <w:t xml:space="preserve">המזכירות תמציא החלטתי לצדדים ותסגור את התיק.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ספטמבר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D44A4" w:rsidP="00633C4F">
      <w:pPr>
        <w:spacing w:line="360" w:lineRule="auto"/>
        <w:ind w:left="3600" w:firstLine="720"/>
      </w:pPr>
      <w:sdt>
        <w:sdtPr>
          <w:rPr>
            <w:rtl/>
          </w:rPr>
          <w:alias w:val="MergeField"/>
          <w:tag w:val="1237"/>
          <w:id w:val="1834018311"/>
        </w:sdtPr>
        <w:sdtEndPr/>
        <w:sdtContent>
          <w:r w:rsidR="00F70FDC">
            <w:drawing>
              <wp:inline distT="0" distB="0" distL="0" distR="0" wp14:editId="50D07946">
                <wp:extent cx="1028700"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028700" cy="11620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4A4" w:rsidRDefault="003D44A4">
      <w:r>
        <w:separator/>
      </w:r>
    </w:p>
  </w:endnote>
  <w:endnote w:type="continuationSeparator" w:id="0">
    <w:p w:rsidR="003D44A4" w:rsidRDefault="003D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348" w:rsidRDefault="00F9234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82E8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82E80">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348" w:rsidRDefault="00F9234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4A4" w:rsidRDefault="003D44A4">
      <w:r>
        <w:separator/>
      </w:r>
    </w:p>
  </w:footnote>
  <w:footnote w:type="continuationSeparator" w:id="0">
    <w:p w:rsidR="003D44A4" w:rsidRDefault="003D4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348" w:rsidRDefault="00F9234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D44A4" w:rsidP="00CE2B03">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38881-09-22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CE2B03">
                <w:rPr>
                  <w:rFonts w:hint="cs"/>
                  <w:b/>
                  <w:bCs/>
                  <w:noProof w:val="0"/>
                  <w:sz w:val="26"/>
                  <w:szCs w:val="26"/>
                  <w:rtl/>
                </w:rPr>
                <w:t xml:space="preserve">פלוני </w:t>
              </w:r>
              <w:r w:rsidR="00E44DDF">
                <w:rPr>
                  <w:b/>
                  <w:bCs/>
                  <w:noProof w:val="0"/>
                  <w:sz w:val="26"/>
                  <w:szCs w:val="26"/>
                  <w:rtl/>
                </w:rPr>
                <w:t xml:space="preserve">ואח' נ' </w:t>
              </w:r>
              <w:r w:rsidR="00CE2B03">
                <w:rPr>
                  <w:rFonts w:hint="cs"/>
                  <w:b/>
                  <w:bCs/>
                  <w:noProof w:val="0"/>
                  <w:sz w:val="26"/>
                  <w:szCs w:val="26"/>
                  <w:rtl/>
                </w:rPr>
                <w:t xml:space="preserve">אלמוני </w:t>
              </w:r>
              <w:r w:rsidR="00E44DDF">
                <w:rPr>
                  <w:b/>
                  <w:bCs/>
                  <w:noProof w:val="0"/>
                  <w:sz w:val="26"/>
                  <w:szCs w:val="26"/>
                  <w:rtl/>
                </w:rPr>
                <w:t>ואח'</w:t>
              </w:r>
            </w:sdtContent>
          </w:sdt>
        </w:p>
        <w:p w:rsidR="00957C90" w:rsidRPr="00957C90" w:rsidRDefault="003D44A4">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348" w:rsidRDefault="00F9234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42F7C"/>
    <w:multiLevelType w:val="hybridMultilevel"/>
    <w:tmpl w:val="3CA4B480"/>
    <w:lvl w:ilvl="0" w:tplc="4692A262">
      <w:start w:val="2"/>
      <w:numFmt w:val="bullet"/>
      <w:lvlText w:val="-"/>
      <w:lvlJc w:val="left"/>
      <w:pPr>
        <w:ind w:left="1080" w:hanging="360"/>
      </w:pPr>
      <w:rPr>
        <w:rFonts w:ascii="David" w:eastAsiaTheme="minorHAns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3144418E"/>
    <w:multiLevelType w:val="hybridMultilevel"/>
    <w:tmpl w:val="7214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126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12677&amp;lt;/CaseID&amp;gt;_x000d__x000a_        &amp;lt;CaseMonth&amp;gt;9&amp;lt;/CaseMonth&amp;gt;_x000d__x000a_        &amp;lt;CaseYear&amp;gt;2022&amp;lt;/CaseYear&amp;gt;_x000d__x000a_        &amp;lt;CaseNumber&amp;gt;38881&amp;lt;/CaseNumber&amp;gt;_x000d__x000a_        &amp;lt;NumeratorGroupID&amp;gt;1&amp;lt;/NumeratorGroupID&amp;gt;_x000d__x000a_        &amp;lt;CaseName&amp;gt;חוסייסי ואח&amp;#39; נ&amp;#39; חוסייסי ואח&amp;#39;&amp;lt;/CaseName&amp;gt;_x000d__x000a_        &amp;lt;CourtID&amp;gt;26&amp;lt;/CourtID&amp;gt;_x000d__x000a_        &amp;lt;CaseTypeID&amp;gt;15&amp;lt;/CaseTypeID&amp;gt;_x000d__x000a_        &amp;lt;CaseInterestID&amp;gt;158&amp;lt;/CaseInterestID&amp;gt;_x000d__x000a_        &amp;lt;CaseJudgeName&amp;gt;ענבל קר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8881-09-22&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9-18T13:08: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ענבל&amp;lt;/CaseJudgeFirstName&amp;gt;_x000d__x000a_        &amp;lt;CaseJudgeLastName&amp;gt;קרן&amp;lt;/CaseJudgeLastName&amp;gt;_x000d__x000a_        &amp;lt;JudicalPersonID&amp;gt;0321158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חזרה השלמת המצאה לנתבע 2- יש לשלוח החלטות בדואר רשו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12677&amp;lt;/CaseID&amp;gt;_x000d__x000a_        &amp;lt;CaseMonth&amp;gt;9&amp;lt;/CaseMonth&amp;gt;_x000d__x000a_        &amp;lt;CaseYear&amp;gt;2022&amp;lt;/CaseYear&amp;gt;_x000d__x000a_        &amp;lt;CaseNumber&amp;gt;38881&amp;lt;/CaseNumber&amp;gt;_x000d__x000a_        &amp;lt;NumeratorGroupID&amp;gt;1&amp;lt;/NumeratorGroupID&amp;gt;_x000d__x000a_        &amp;lt;CaseName&amp;gt;חוסייסי ואח&amp;#39; נ&amp;#39; חוסייסי ואח&amp;#39;&amp;lt;/CaseName&amp;gt;_x000d__x000a_        &amp;lt;CourtID&amp;gt;26&amp;lt;/CourtID&amp;gt;_x000d__x000a_        &amp;lt;CaseTypeID&amp;gt;15&amp;lt;/CaseTypeID&amp;gt;_x000d__x000a_        &amp;lt;CaseInterestID&amp;gt;158&amp;lt;/CaseInterestID&amp;gt;_x000d__x000a_        &amp;lt;CaseJudgeName&amp;gt;ענבל קר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8881-09-22&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2-09-18T13:08: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ענבל&amp;lt;/CaseJudgeFirstName&amp;gt;_x000d__x000a_        &amp;lt;CaseJudgeLastName&amp;gt;קרן&amp;lt;/CaseJudgeLastName&amp;gt;_x000d__x000a_        &amp;lt;JudicalPersonID&amp;gt;0321158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חזרה השלמת המצאה לנתבע 2- יש לשלוח החלטות בדואר רשו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02879&amp;lt;/DecisionID&amp;gt;_x000d__x000a_        &amp;lt;DecisionName&amp;gt;פסק דין  שניתנה ע&amp;quot;י  ענבל קרן&amp;lt;/DecisionName&amp;gt;_x000d__x000a_        &amp;lt;DecisionStatusID&amp;gt;1&amp;lt;/DecisionStatusID&amp;gt;_x000d__x000a_        &amp;lt;DecisionStatusChangeDate&amp;gt;2023-09-12T12:14:24.047+03:00&amp;lt;/DecisionStatusChangeDate&amp;gt;_x000d__x000a_        &amp;lt;DecisionSignatureDate&amp;gt;2023-09-12T12:09:21.97+03:00&amp;lt;/DecisionSignatureDate&amp;gt;_x000d__x000a_        &amp;lt;DecisionSignatureUserID&amp;gt;032115875@GOV.IL&amp;lt;/DecisionSignatureUserID&amp;gt;_x000d__x000a_        &amp;lt;DecisionCreateDate&amp;gt;2023-09-12T12:02:10.87+03:00&amp;lt;/DecisionCreateDate&amp;gt;_x000d__x000a_        &amp;lt;DecisionChangeDate&amp;gt;2023-09-12T12:14:24.11+03:00&amp;lt;/DecisionChangeDate&amp;gt;_x000d__x000a_        &amp;lt;DecisionChangeUserID&amp;gt;03180587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4315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1158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805872@GOV.IL&amp;lt;/DecisionCreationUserID&amp;gt;_x000d__x000a_        &amp;lt;DecisionDisplayName&amp;gt;פסק דין  שניתנה ע&amp;quot;י  ענבל קרן&amp;lt;/DecisionDisplayName&amp;gt;_x000d__x000a_        &amp;lt;IsScanned&amp;gt;false&amp;lt;/IsScanned&amp;gt;_x000d__x000a_        &amp;lt;DecisionSignatureUserName&amp;gt;ענבל קר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47102879&amp;lt;/DecisionID&amp;gt;_x000d__x000a_        &amp;lt;CaseID&amp;gt;79612677&amp;lt;/CaseID&amp;gt;_x000d__x000a_        &amp;lt;IsOriginal&amp;gt;true&amp;lt;/IsOriginal&amp;gt;_x000d__x000a_        &amp;lt;IsDeleted&amp;gt;false&amp;lt;/IsDeleted&amp;gt;_x000d__x000a_        &amp;lt;CaseName&amp;gt;חוסייסי ואח&amp;#39; נ&amp;#39; חוסייסי ואח&amp;#39;&amp;lt;/CaseName&amp;gt;_x000d__x000a_        &amp;lt;CaseDisplayIdentifier&amp;gt;38881-09-22 תמ&amp;quot;ש&amp;lt;/CaseDisplayIdentifier&amp;gt;_x000d__x000a_      &amp;lt;/dt_DecisionCase&amp;gt;_x000d__x000a_    &amp;lt;/DecisionDS&amp;gt;_x000d__x000a_  &amp;lt;/diffgr:diffgram&amp;gt;_x000d__x000a_&amp;lt;/DecisionDS&amp;gt;"/>
    <w:docVar w:name="DecisionID" w:val="147102879"/>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381D3A"/>
    <w:rsid w:val="003823DA"/>
    <w:rsid w:val="00382E80"/>
    <w:rsid w:val="003D44A4"/>
    <w:rsid w:val="0043595F"/>
    <w:rsid w:val="004710F2"/>
    <w:rsid w:val="0047645A"/>
    <w:rsid w:val="00496D6B"/>
    <w:rsid w:val="004D49A3"/>
    <w:rsid w:val="004D50AC"/>
    <w:rsid w:val="004E6E3C"/>
    <w:rsid w:val="005124F1"/>
    <w:rsid w:val="00530BAD"/>
    <w:rsid w:val="00541598"/>
    <w:rsid w:val="00547DB7"/>
    <w:rsid w:val="00567324"/>
    <w:rsid w:val="00572A60"/>
    <w:rsid w:val="005B0F49"/>
    <w:rsid w:val="005C7EC6"/>
    <w:rsid w:val="005D4BDB"/>
    <w:rsid w:val="00622BAA"/>
    <w:rsid w:val="00625C89"/>
    <w:rsid w:val="00633C4F"/>
    <w:rsid w:val="00671BD5"/>
    <w:rsid w:val="006805C1"/>
    <w:rsid w:val="006816EC"/>
    <w:rsid w:val="00694556"/>
    <w:rsid w:val="006C2FF1"/>
    <w:rsid w:val="006E1A53"/>
    <w:rsid w:val="007056AA"/>
    <w:rsid w:val="00744F41"/>
    <w:rsid w:val="007A24FE"/>
    <w:rsid w:val="007A35AA"/>
    <w:rsid w:val="007F1048"/>
    <w:rsid w:val="00820005"/>
    <w:rsid w:val="00820596"/>
    <w:rsid w:val="00846D27"/>
    <w:rsid w:val="008610A7"/>
    <w:rsid w:val="008B3760"/>
    <w:rsid w:val="008E1332"/>
    <w:rsid w:val="00903896"/>
    <w:rsid w:val="00927813"/>
    <w:rsid w:val="00944D13"/>
    <w:rsid w:val="00957C90"/>
    <w:rsid w:val="009B0F62"/>
    <w:rsid w:val="009B70F6"/>
    <w:rsid w:val="009B7ED1"/>
    <w:rsid w:val="009C358E"/>
    <w:rsid w:val="009E0263"/>
    <w:rsid w:val="00A2662B"/>
    <w:rsid w:val="00A267CF"/>
    <w:rsid w:val="00A43458"/>
    <w:rsid w:val="00AB62C1"/>
    <w:rsid w:val="00AC4E19"/>
    <w:rsid w:val="00AF1ED6"/>
    <w:rsid w:val="00B32C61"/>
    <w:rsid w:val="00B368FE"/>
    <w:rsid w:val="00B80CBD"/>
    <w:rsid w:val="00BB7418"/>
    <w:rsid w:val="00BC3369"/>
    <w:rsid w:val="00BF77EE"/>
    <w:rsid w:val="00C32E0F"/>
    <w:rsid w:val="00C42BF9"/>
    <w:rsid w:val="00C83E56"/>
    <w:rsid w:val="00CC63CE"/>
    <w:rsid w:val="00CE2B03"/>
    <w:rsid w:val="00CF2954"/>
    <w:rsid w:val="00D21398"/>
    <w:rsid w:val="00D319B3"/>
    <w:rsid w:val="00D36A71"/>
    <w:rsid w:val="00D53924"/>
    <w:rsid w:val="00D60849"/>
    <w:rsid w:val="00D96D8C"/>
    <w:rsid w:val="00DA755B"/>
    <w:rsid w:val="00DD337E"/>
    <w:rsid w:val="00E00B6F"/>
    <w:rsid w:val="00E44DDF"/>
    <w:rsid w:val="00E54642"/>
    <w:rsid w:val="00E97908"/>
    <w:rsid w:val="00EA2124"/>
    <w:rsid w:val="00EE31ED"/>
    <w:rsid w:val="00EF3ED0"/>
    <w:rsid w:val="00F17E56"/>
    <w:rsid w:val="00F70FDC"/>
    <w:rsid w:val="00F9234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uiPriority w:val="99"/>
    <w:semiHidden/>
    <w:unhideWhenUsed/>
    <w:rsid w:val="00AB62C1"/>
    <w:rPr>
      <w:color w:val="0000FF"/>
      <w:u w:val="single"/>
    </w:rPr>
  </w:style>
  <w:style w:type="paragraph" w:styleId="ad">
    <w:name w:val="List Paragraph"/>
    <w:basedOn w:val="a"/>
    <w:qFormat/>
    <w:rsid w:val="00AB62C1"/>
    <w:pPr>
      <w:ind w:left="720"/>
      <w:contextualSpacing/>
    </w:pPr>
    <w:rPr>
      <w:rFonts w:ascii="Calibri" w:eastAsiaTheme="minorHAnsi" w:hAnsi="Calibri" w:cs="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4303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nevo.co.il/case/17936109"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B6A8C"/>
    <w:rsid w:val="009041E7"/>
    <w:rsid w:val="00B1236D"/>
    <w:rsid w:val="00B40AEB"/>
    <w:rsid w:val="00B65812"/>
    <w:rsid w:val="00CC5512"/>
    <w:rsid w:val="00E161A6"/>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FA66ED182B254CC3A43A7A4BD50B8A40">
    <w:name w:val="FA66ED182B254CC3A43A7A4BD50B8A40"/>
    <w:rsid w:val="009041E7"/>
    <w:pPr>
      <w:bidi/>
    </w:pPr>
  </w:style>
  <w:style w:type="paragraph" w:customStyle="1" w:styleId="362F5623289140858DCEBFF685DB5CF2">
    <w:name w:val="362F5623289140858DCEBFF685DB5CF2"/>
    <w:rsid w:val="009041E7"/>
    <w:pPr>
      <w:bidi/>
    </w:pPr>
  </w:style>
  <w:style w:type="paragraph" w:customStyle="1" w:styleId="B3AF41EB6E9E4DB884B0E54123090D07">
    <w:name w:val="B3AF41EB6E9E4DB884B0E54123090D07"/>
    <w:rsid w:val="009041E7"/>
    <w:pPr>
      <w:bidi/>
    </w:pPr>
  </w:style>
  <w:style w:type="paragraph" w:customStyle="1" w:styleId="5FE36F00F07943C889A8C5191ABA2827">
    <w:name w:val="5FE36F00F07943C889A8C5191ABA2827"/>
    <w:rsid w:val="009041E7"/>
    <w:pPr>
      <w:bidi/>
    </w:pPr>
  </w:style>
  <w:style w:type="paragraph" w:customStyle="1" w:styleId="79404A818E1D4EB1A02213484B33355C">
    <w:name w:val="79404A818E1D4EB1A02213484B33355C"/>
    <w:rsid w:val="009041E7"/>
    <w:pPr>
      <w:bidi/>
    </w:pPr>
  </w:style>
  <w:style w:type="paragraph" w:customStyle="1" w:styleId="7458DDB7784241D4949966A432945DCB">
    <w:name w:val="7458DDB7784241D4949966A432945DCB"/>
    <w:rsid w:val="009041E7"/>
    <w:pPr>
      <w:bidi/>
    </w:pPr>
  </w:style>
  <w:style w:type="paragraph" w:customStyle="1" w:styleId="30CC08EB43794916B3EC30EB6BBAC983">
    <w:name w:val="30CC08EB43794916B3EC30EB6BBAC983"/>
    <w:rsid w:val="00E161A6"/>
    <w:pPr>
      <w:bidi/>
    </w:pPr>
  </w:style>
  <w:style w:type="paragraph" w:customStyle="1" w:styleId="B1DE8B72F40942858FA8605842B9F995">
    <w:name w:val="B1DE8B72F40942858FA8605842B9F995"/>
    <w:rsid w:val="00E161A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ואפי נסר אל דין</FullName>
        <FirstName>ואפי</FirstName>
        <LastName>נסר אל דין</LastName>
        <PartyPropertyName/>
        <AuthenticationTypeAndNumber>מ.ר. 49829</AuthenticationTypeAndNumber>
        <RepresentatedOrRepresentativesNames>נאיל חוסייסי</RepresentatedOrRepresentativesNames>
        <RepresentatedOrRepresentativesCount>1</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246046984</CasePartyID>
        <PartyTypeID>2</PartyTypeID>
        <ActivityStatusID>1</ActivityStatusID>
        <PartyAliasID>21</PartyAliasID>
        <PartyAliasName>בא כוח נתבעים</PartyAliasName>
        <LegalEntityID>12757017</LegalEntityID>
        <CaseLegalEntityID>121373319</CaseLegalEntityID>
        <AuthenticationTypeID>4</AuthenticationTypeID>
        <AuthenticationTypeName>מ.ר.</AuthenticationTypeName>
        <LegalEntityNumber>49829</LegalEntityNumber>
        <IsMainPartyType>true</IsMainPartyType>
        <CaseDisplayIdentifier>38881-09-22</CaseDisplayIdentifier>
        <CaseTypeID>15</CaseTypeID>
        <CaseTypeName>תיק משפחה (תמ"ש)</CaseTypeName>
        <CaseName>חוסייסי ואח' נ' חוסייסי ואח'</CaseName>
        <FullAddress>מרכז מסחרי 2 דאלית אל-כרמל </FullAddress>
        <EmailAddress>wafi.lawoffice@gmail.com</EmailAddress>
        <MotionID>0</MotionID>
        <CasePleaID>0</CasePleaID>
        <LinkedCaseID>0</LinkedCaseID>
        <PartyID>2</PartyID>
        <CasePartyCategoryID>2</CasePartyCategoryID>
        <LegalEntityAddressID>45886915</LegalEntityAddressID>
        <LegalEntityEmailAddressID>43827712</LegalEntityEmailAddressID>
        <PleaTypeID>4</PleaTypeID>
        <LawyerOfficeName>משרד עו"ד ואפי נסר אל דין</LawyerOfficeName>
        <LawyerOfficeID>12757018</LawyerOfficeID>
        <GroupPartyAlias/>
        <IsConverted>false</IsConverted>
        <LegalEntityNameID>12532577</LegalEntityNameID>
        <RepresentatedNamesOfAssistant/>
        <LegalEntityTypeID>4</LegalEntityTypeID>
        <IsVerdictExists>false</IsVerdictExists>
        <IsAsirAzir>false</IsAsirAzir>
        <IsPublicationProhibited>false</IsPublicationProhibited>
        <PublicationProhibitedFullName>ואפי נסר אל דין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סלהוב</FullName>
        <FirstName>אלי</FirstName>
        <LastName>סלהוב</LastName>
        <PartyPropertyName/>
        <AuthenticationTypeAndNumber>מ.ר. 48068</AuthenticationTypeAndNumber>
        <RepresentatedOrRepresentativesNames>עלי חוסייסי, פרג' חוסייסי</RepresentatedOrRepresentativesNames>
        <RepresentatedOrRepresentativesCount>2</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245887627</CasePartyID>
        <PartyTypeID>2</PartyTypeID>
        <ActivityStatusID>1</ActivityStatusID>
        <PartyAliasID>20</PartyAliasID>
        <PartyAliasName>בא כוח תובעים</PartyAliasName>
        <OrdinalNumber>1</OrdinalNumber>
        <LegalEntityID>15878244</LegalEntityID>
        <CaseLegalEntityID>121324026</CaseLegalEntityID>
        <AuthenticationTypeID>4</AuthenticationTypeID>
        <AuthenticationTypeName>מ.ר.</AuthenticationTypeName>
        <LegalEntityNumber>48068</LegalEntityNumber>
        <IsMainPartyType>true</IsMainPartyType>
        <CaseDisplayIdentifier>38881-09-22</CaseDisplayIdentifier>
        <CaseTypeID>15</CaseTypeID>
        <CaseTypeName>תיק משפחה (תמ"ש)</CaseTypeName>
        <CaseName>חוסייסי ואח' נ' חוסייסי ואח'</CaseName>
        <FullAddress>שדרות התעשיה 8 אשקלון </FullAddress>
        <EmailAddress>office@tylaw.co.il</EmailAddress>
        <MotionID>0</MotionID>
        <CasePleaID>0</CasePleaID>
        <LinkedCaseID>0</LinkedCaseID>
        <PartyID>1</PartyID>
        <CasePartyCategoryID>2</CasePartyCategoryID>
        <LegalEntityAddressID>71310262</LegalEntityAddressID>
        <LegalEntityEmailAddressID>67838181</LegalEntityEmailAddressID>
        <PleaTypeID>4</PleaTypeID>
        <LawyerOfficeName>תמיר יחיא משרד עו"ד ונוטריון</LawyerOfficeName>
        <LawyerOfficeID>419567</LawyerOfficeID>
        <GroupPartyAlias/>
        <IsConverted>false</IsConverted>
        <LegalEntityNameID>17525344</LegalEntityNameID>
        <RepresentatedNamesOfAssistant/>
        <LegalEntityTypeID>4</LegalEntityTypeID>
        <IsVerdictExists>false</IsVerdictExists>
        <IsAsirAzir>false</IsAsirAzir>
        <IsPublicationProhibited>false</IsPublicationProhibited>
        <PublicationProhibitedFullName>אלי סלהוב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פרג' חוסייסי</FullName>
        <FirstName>פרג'</FirstName>
        <LastName>חוסייסי</LastName>
        <PartyPropertyName/>
        <AuthenticationTypeAndNumber>ת"ז 059558718</AuthenticationTypeAndNumber>
        <RepresentatedOrRepresentativesNames>אלי סלהוב</RepresentatedOrRepresentativesNames>
        <RepresentatedOrRepresentativesCount>1</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245887625</CasePartyID>
        <PartyTypeID>1</PartyTypeID>
        <ActivityStatusID>1</ActivityStatusID>
        <PartyAliasID>1</PartyAliasID>
        <PartyAliasName>תובע</PartyAliasName>
        <OrdinalNumber>1</OrdinalNumber>
        <LegalEntityID>73818182</LegalEntityID>
        <CaseLegalEntityID>121324024</CaseLegalEntityID>
        <AuthenticationTypeID>1</AuthenticationTypeID>
        <AuthenticationTypeName>ת"ז</AuthenticationTypeName>
        <LegalEntityNumber>059558718</LegalEntityNumber>
        <IsMainPartyType>true</IsMainPartyType>
        <CaseDisplayIdentifier>38881-09-22</CaseDisplayIdentifier>
        <CaseTypeID>15</CaseTypeID>
        <CaseTypeName>תיק משפחה (תמ"ש)</CaseTypeName>
        <CaseName>חוסייסי ואח' נ' חוסייסי ואח'</CaseName>
        <FullAddress>דאלית אל-כרמל </FullAddress>
        <MotionID>0</MotionID>
        <CasePleaID>0</CasePleaID>
        <FatherName>עבדאללה</FatherName>
        <LinkedCaseID>0</LinkedCaseID>
        <PartyID>1</PartyID>
        <CasePartyCategoryID>2</CasePartyCategoryID>
        <LegalEntityAddressID>86986823</LegalEntityAddressID>
        <PleaTypeID>4</PleaTypeID>
        <GroupPartyAlias>תובעים</GroupPartyAlias>
        <IsConverted>false</IsConverted>
        <LegalEntityNameID>93703509</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פרג' חוסייסי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נאיל חוסייסי</FullName>
        <FirstName>נאיל</FirstName>
        <LastName>חוסייסי</LastName>
        <PartyPropertyName/>
        <AuthenticationTypeAndNumber>ת"ז 024767907</AuthenticationTypeAndNumber>
        <RepresentatedOrRepresentativesNames>ואפי נסר אל דין</RepresentatedOrRepresentativesNames>
        <RepresentatedOrRepresentativesCount>1</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245887629</CasePartyID>
        <PartyTypeID>1</PartyTypeID>
        <ActivityStatusID>1</ActivityStatusID>
        <PartyAliasID>2</PartyAliasID>
        <PartyAliasName>נתבע</PartyAliasName>
        <OrdinalNumber>1</OrdinalNumber>
        <LegalEntityID>8534501</LegalEntityID>
        <CaseLegalEntityID>121324028</CaseLegalEntityID>
        <AuthenticationTypeID>1</AuthenticationTypeID>
        <AuthenticationTypeName>ת"ז</AuthenticationTypeName>
        <LegalEntityNumber>024767907</LegalEntityNumber>
        <IsMainPartyType>true</IsMainPartyType>
        <CaseDisplayIdentifier>38881-09-22</CaseDisplayIdentifier>
        <CaseTypeID>15</CaseTypeID>
        <CaseTypeName>תיק משפחה (תמ"ש)</CaseTypeName>
        <CaseName>חוסייסי ואח' נ' חוסייסי ואח'</CaseName>
        <FullAddress>הכרמל 46 דאלית אל-כרמל </FullAddress>
        <MotionID>0</MotionID>
        <CasePleaID>0</CasePleaID>
        <FatherName>עבדאללה</FatherName>
        <LinkedCaseID>0</LinkedCaseID>
        <PartyID>2</PartyID>
        <CasePartyCategoryID>2</CasePartyCategoryID>
        <LegalEntityAddressID>86986825</LegalEntityAddressID>
        <GrandfatherName/>
        <DrivingLicenseNumber>3148557</DrivingLicenseNumber>
        <PleaTypeID>4</PleaTypeID>
        <GroupPartyAlias>נתבעים</GroupPartyAlias>
        <IsConverted>false</IsConverted>
        <LegalEntityNameID>93703511</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נאיל חוסייסי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עלי חוסייסי</FullName>
        <FirstName>עלי</FirstName>
        <LastName>חוסייסי</LastName>
        <PartyPropertyName/>
        <AuthenticationTypeAndNumber>ת"ז 023283153</AuthenticationTypeAndNumber>
        <RepresentatedOrRepresentativesNames>אלי סלהוב</RepresentatedOrRepresentativesNames>
        <RepresentatedOrRepresentativesCount>1</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245887626</CasePartyID>
        <PartyTypeID>1</PartyTypeID>
        <ActivityStatusID>1</ActivityStatusID>
        <PartyAliasID>1</PartyAliasID>
        <PartyAliasName>תובע</PartyAliasName>
        <OrdinalNumber>2</OrdinalNumber>
        <LegalEntityID>73976296</LegalEntityID>
        <CaseLegalEntityID>121324025</CaseLegalEntityID>
        <AuthenticationTypeID>1</AuthenticationTypeID>
        <AuthenticationTypeName>ת"ז</AuthenticationTypeName>
        <LegalEntityNumber>023283153</LegalEntityNumber>
        <IsMainPartyType>true</IsMainPartyType>
        <CaseDisplayIdentifier>38881-09-22</CaseDisplayIdentifier>
        <CaseTypeID>15</CaseTypeID>
        <CaseTypeName>תיק משפחה (תמ"ש)</CaseTypeName>
        <CaseName>חוסייסי ואח' נ' חוסייסי ואח'</CaseName>
        <FullAddress>דאלית אל-כרמל </FullAddress>
        <MotionID>0</MotionID>
        <CasePleaID>0</CasePleaID>
        <FatherName>עבדאללה</FatherName>
        <LinkedCaseID>0</LinkedCaseID>
        <PartyID>1</PartyID>
        <CasePartyCategoryID>2</CasePartyCategoryID>
        <LegalEntityAddressID>86986824</LegalEntityAddressID>
        <PleaTypeID>4</PleaTypeID>
        <GroupPartyAlias>תובעים</GroupPartyAlias>
        <IsConverted>false</IsConverted>
        <LegalEntityNameID>93703510</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עלי חוסייסי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בנק ירושלים בע"מ</FullName>
        <LastName>בנק ירושלים בע"מ</LastName>
        <PartyPropertyName/>
        <AuthenticationTypeAndNumber>חברות 520025636</AuthenticationTypeAndNumber>
        <RepresentatedOrRepresentativesNames/>
        <RepresentatedOrRepresentativesCount>0</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245887628</CasePartyID>
        <PartyTypeID>1</PartyTypeID>
        <ActivityStatusID>1</ActivityStatusID>
        <PartyAliasID>2</PartyAliasID>
        <PartyAliasName>נתבע</PartyAliasName>
        <OrdinalNumber>2</OrdinalNumber>
        <LegalEntityID>361409</LegalEntityID>
        <CaseLegalEntityID>121324027</CaseLegalEntityID>
        <AuthenticationTypeID>3</AuthenticationTypeID>
        <AuthenticationTypeName>חברות</AuthenticationTypeName>
        <LegalEntityNumber>520025636</LegalEntityNumber>
        <IsMainPartyType>true</IsMainPartyType>
        <CaseDisplayIdentifier>38881-09-22</CaseDisplayIdentifier>
        <CaseTypeID>15</CaseTypeID>
        <CaseTypeName>תיק משפחה (תמ"ש)</CaseTypeName>
        <CaseName>חוסייסי ואח' נ' חוסייסי ואח'</CaseName>
        <FullAddress>נגב 2 תל אביב -יפו קריית התעופה</FullAddress>
        <EmailAddress>hanochb@bankjerusalem.co.il</EmailAddress>
        <MotionID>0</MotionID>
        <CasePleaID>0</CasePleaID>
        <LinkedCaseID>0</LinkedCaseID>
        <PartyID>2</PartyID>
        <CasePartyCategoryID>2</CasePartyCategoryID>
        <LegalEntityAddressID>87126317</LegalEntityAddressID>
        <LegalEntityEmailAddressID>68182494</LegalEntityEmailAddressID>
        <PleaTypeID>4</PleaTypeID>
        <GroupPartyAlias>נתבעים</GroupPartyAlias>
        <IsConverted>false</IsConverted>
        <LegalEntityRegisteredNameID>324782</LegalEntityRegisteredNameID>
        <RepresentatedNamesOfAssistant/>
        <LegalEntityTypeID>3</LegalEntityTypeID>
        <IsVerdictExists>false</IsVerdictExists>
        <IsAsirAzir>false</IsAsirAzir>
        <IsPublicationProhibited>false</IsPublicationProhibited>
        <PublicationProhibitedFullName>בנק ירושלים בע"מ</PublicationProhibitedFullName>
      </CaseParties>
    </CasePartiesSelectionDS>
    <DecisionName>פסק דין  שניתנה ע"י  ענבל קרן</DecisionName>
    <CourtDisplayName>בית משפט לענייני משפחה בחיפה</CourtDisplayName>
    <IsCaseJudgePanel>false</IsCaseJudgePanel>
    <DecisionSignatureDate>2023-09-12T12:00:41.930434+03:00</DecisionSignatureDate>
    <OpenCaseDate>2022-09-18T13:08:00+03:00</OpenCaseDate>
    <CaseFeeSum>0.000</CaseFeeSum>
    <DecisionTypeID>2</DecisionTypeID>
    <DecisionSignatureUserName>ענבל קרן</DecisionSignatureUserName>
    <DecisionSignatureDateHebrew>2023-09-12T12:00:41.930434+03:00</DecisionSignatureDateHebrew>
    <DecisionWriterID>032115875@GOV.IL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חוסייסי ואח' נ' חוסייסי ואח'</CaseName>
    <DecisionNumberInCase>11</DecisionNumberInCase>
  </dt_Decision>
  <dt_DecisionCase>
    <DecisionID>0</DecisionID>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ואפי נסר אל דין</FullName>
        <FirstName>ואפי</FirstName>
        <LastName>נסר אל דין</LastName>
        <PartyPropertyName/>
        <AuthenticationTypeAndNumber>מ.ר. 49829</AuthenticationTypeAndNumber>
        <RepresentatedOrRepresentativesNames>נאיל חוסייסי</RepresentatedOrRepresentativesNames>
        <RepresentatedOrRepresentativesCount>1</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246046984</CasePartyID>
        <PartyTypeID>2</PartyTypeID>
        <ActivityStatusID>1</ActivityStatusID>
        <PartyAliasID>21</PartyAliasID>
        <PartyAliasName>בא כוח נתבעים</PartyAliasName>
        <LegalEntityID>12757017</LegalEntityID>
        <CaseLegalEntityID>121373319</CaseLegalEntityID>
        <AuthenticationTypeID>4</AuthenticationTypeID>
        <AuthenticationTypeName>מ.ר.</AuthenticationTypeName>
        <LegalEntityNumber>49829</LegalEntityNumber>
        <IsMainPartyType>true</IsMainPartyType>
        <CaseDisplayIdentifier>38881-09-22</CaseDisplayIdentifier>
        <CaseTypeID>15</CaseTypeID>
        <CaseTypeName>תיק משפחה (תמ"ש)</CaseTypeName>
        <CaseName>חוסייסי ואח' נ' חוסייסי ואח'</CaseName>
        <FullAddress>מרכז מסחרי 2 דאלית אל-כרמל </FullAddress>
        <EmailAddress>wafi.lawoffice@gmail.com</EmailAddress>
        <MotionID>0</MotionID>
        <CasePleaID>0</CasePleaID>
        <LinkedCaseID>0</LinkedCaseID>
        <PartyID>2</PartyID>
        <CasePartyCategoryID>2</CasePartyCategoryID>
        <LegalEntityAddressID>45886915</LegalEntityAddressID>
        <LegalEntityEmailAddressID>43827712</LegalEntityEmailAddressID>
        <PleaTypeID>4</PleaTypeID>
        <LawyerOfficeName>משרד עו"ד ואפי נסר אל דין</LawyerOfficeName>
        <LawyerOfficeID>12757018</LawyerOfficeID>
        <GroupPartyAlias/>
        <IsConverted>false</IsConverted>
        <LegalEntityNameID>12532577</LegalEntityNameID>
        <RepresentatedNamesOfAssistant/>
        <LegalEntityTypeID>4</LegalEntityTypeID>
        <IsVerdictExists>false</IsVerdictExists>
        <IsAsirAzir>false</IsAsirAzir>
        <IsPublicationProhibited>false</IsPublicationProhibited>
        <PublicationProhibitedFullName>ואפי נסר אל דין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סלהוב</FullName>
        <FirstName>אלי</FirstName>
        <LastName>סלהוב</LastName>
        <PartyPropertyName/>
        <AuthenticationTypeAndNumber>מ.ר. 48068</AuthenticationTypeAndNumber>
        <RepresentatedOrRepresentativesNames>עלי חוסייסי, פרג' חוסייסי</RepresentatedOrRepresentativesNames>
        <RepresentatedOrRepresentativesCount>2</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245887627</CasePartyID>
        <PartyTypeID>2</PartyTypeID>
        <ActivityStatusID>1</ActivityStatusID>
        <PartyAliasID>20</PartyAliasID>
        <PartyAliasName>בא כוח תובעים</PartyAliasName>
        <OrdinalNumber>1</OrdinalNumber>
        <LegalEntityID>15878244</LegalEntityID>
        <CaseLegalEntityID>121324026</CaseLegalEntityID>
        <AuthenticationTypeID>4</AuthenticationTypeID>
        <AuthenticationTypeName>מ.ר.</AuthenticationTypeName>
        <LegalEntityNumber>48068</LegalEntityNumber>
        <IsMainPartyType>true</IsMainPartyType>
        <CaseDisplayIdentifier>38881-09-22</CaseDisplayIdentifier>
        <CaseTypeID>15</CaseTypeID>
        <CaseTypeName>תיק משפחה (תמ"ש)</CaseTypeName>
        <CaseName>חוסייסי ואח' נ' חוסייסי ואח'</CaseName>
        <FullAddress>שדרות התעשיה 8 אשקלון </FullAddress>
        <EmailAddress>office@tylaw.co.il</EmailAddress>
        <MotionID>0</MotionID>
        <CasePleaID>0</CasePleaID>
        <LinkedCaseID>0</LinkedCaseID>
        <PartyID>1</PartyID>
        <CasePartyCategoryID>2</CasePartyCategoryID>
        <LegalEntityAddressID>71310262</LegalEntityAddressID>
        <LegalEntityEmailAddressID>67838181</LegalEntityEmailAddressID>
        <PleaTypeID>4</PleaTypeID>
        <LawyerOfficeName>תמיר יחיא משרד עו"ד ונוטריון</LawyerOfficeName>
        <LawyerOfficeID>419567</LawyerOfficeID>
        <GroupPartyAlias/>
        <IsConverted>false</IsConverted>
        <LegalEntityNameID>17525344</LegalEntityNameID>
        <RepresentatedNamesOfAssistant/>
        <LegalEntityTypeID>4</LegalEntityTypeID>
        <IsVerdictExists>false</IsVerdictExists>
        <IsAsirAzir>false</IsAsirAzir>
        <IsPublicationProhibited>false</IsPublicationProhibited>
        <PublicationProhibitedFullName>אלי סלהוב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פרג' חוסייסי</FullName>
        <FirstName>פרג'</FirstName>
        <LastName>חוסייסי</LastName>
        <PartyPropertyName/>
        <AuthenticationTypeAndNumber>ת"ז 059558718</AuthenticationTypeAndNumber>
        <RepresentatedOrRepresentativesNames>אלי סלהוב</RepresentatedOrRepresentativesNames>
        <RepresentatedOrRepresentativesCount>1</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245887625</CasePartyID>
        <PartyTypeID>1</PartyTypeID>
        <ActivityStatusID>1</ActivityStatusID>
        <PartyAliasID>1</PartyAliasID>
        <PartyAliasName>תובע</PartyAliasName>
        <OrdinalNumber>1</OrdinalNumber>
        <LegalEntityID>73818182</LegalEntityID>
        <CaseLegalEntityID>121324024</CaseLegalEntityID>
        <AuthenticationTypeID>1</AuthenticationTypeID>
        <AuthenticationTypeName>ת"ז</AuthenticationTypeName>
        <LegalEntityNumber>059558718</LegalEntityNumber>
        <IsMainPartyType>true</IsMainPartyType>
        <CaseDisplayIdentifier>38881-09-22</CaseDisplayIdentifier>
        <CaseTypeID>15</CaseTypeID>
        <CaseTypeName>תיק משפחה (תמ"ש)</CaseTypeName>
        <CaseName>חוסייסי ואח' נ' חוסייסי ואח'</CaseName>
        <FullAddress>דאלית אל-כרמל </FullAddress>
        <MotionID>0</MotionID>
        <CasePleaID>0</CasePleaID>
        <FatherName>עבדאללה</FatherName>
        <LinkedCaseID>0</LinkedCaseID>
        <PartyID>1</PartyID>
        <CasePartyCategoryID>2</CasePartyCategoryID>
        <LegalEntityAddressID>86986823</LegalEntityAddressID>
        <PleaTypeID>4</PleaTypeID>
        <GroupPartyAlias>תובעים</GroupPartyAlias>
        <IsConverted>false</IsConverted>
        <LegalEntityNameID>93703509</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פרג' חוסייסי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נאיל חוסייסי</FullName>
        <FirstName>נאיל</FirstName>
        <LastName>חוסייסי</LastName>
        <PartyPropertyName/>
        <AuthenticationTypeAndNumber>ת"ז 024767907</AuthenticationTypeAndNumber>
        <RepresentatedOrRepresentativesNames>ואפי נסר אל דין</RepresentatedOrRepresentativesNames>
        <RepresentatedOrRepresentativesCount>1</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245887629</CasePartyID>
        <PartyTypeID>1</PartyTypeID>
        <ActivityStatusID>1</ActivityStatusID>
        <PartyAliasID>2</PartyAliasID>
        <PartyAliasName>נתבע</PartyAliasName>
        <OrdinalNumber>1</OrdinalNumber>
        <LegalEntityID>8534501</LegalEntityID>
        <CaseLegalEntityID>121324028</CaseLegalEntityID>
        <AuthenticationTypeID>1</AuthenticationTypeID>
        <AuthenticationTypeName>ת"ז</AuthenticationTypeName>
        <LegalEntityNumber>024767907</LegalEntityNumber>
        <IsMainPartyType>true</IsMainPartyType>
        <CaseDisplayIdentifier>38881-09-22</CaseDisplayIdentifier>
        <CaseTypeID>15</CaseTypeID>
        <CaseTypeName>תיק משפחה (תמ"ש)</CaseTypeName>
        <CaseName>חוסייסי ואח' נ' חוסייסי ואח'</CaseName>
        <FullAddress>הכרמל 46 דאלית אל-כרמל </FullAddress>
        <MotionID>0</MotionID>
        <CasePleaID>0</CasePleaID>
        <FatherName>עבדאללה</FatherName>
        <LinkedCaseID>0</LinkedCaseID>
        <PartyID>2</PartyID>
        <CasePartyCategoryID>2</CasePartyCategoryID>
        <LegalEntityAddressID>86986825</LegalEntityAddressID>
        <GrandfatherName/>
        <DrivingLicenseNumber>3148557</DrivingLicenseNumber>
        <PleaTypeID>4</PleaTypeID>
        <GroupPartyAlias>נתבעים</GroupPartyAlias>
        <IsConverted>false</IsConverted>
        <LegalEntityNameID>93703511</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נאיל חוסייסי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עלי חוסייסי</FullName>
        <FirstName>עלי</FirstName>
        <LastName>חוסייסי</LastName>
        <PartyPropertyName/>
        <AuthenticationTypeAndNumber>ת"ז 023283153</AuthenticationTypeAndNumber>
        <RepresentatedOrRepresentativesNames>אלי סלהוב</RepresentatedOrRepresentativesNames>
        <RepresentatedOrRepresentativesCount>1</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245887626</CasePartyID>
        <PartyTypeID>1</PartyTypeID>
        <ActivityStatusID>1</ActivityStatusID>
        <PartyAliasID>1</PartyAliasID>
        <PartyAliasName>תובע</PartyAliasName>
        <OrdinalNumber>2</OrdinalNumber>
        <LegalEntityID>73976296</LegalEntityID>
        <CaseLegalEntityID>121324025</CaseLegalEntityID>
        <AuthenticationTypeID>1</AuthenticationTypeID>
        <AuthenticationTypeName>ת"ז</AuthenticationTypeName>
        <LegalEntityNumber>023283153</LegalEntityNumber>
        <IsMainPartyType>true</IsMainPartyType>
        <CaseDisplayIdentifier>38881-09-22</CaseDisplayIdentifier>
        <CaseTypeID>15</CaseTypeID>
        <CaseTypeName>תיק משפחה (תמ"ש)</CaseTypeName>
        <CaseName>חוסייסי ואח' נ' חוסייסי ואח'</CaseName>
        <FullAddress>דאלית אל-כרמל </FullAddress>
        <MotionID>0</MotionID>
        <CasePleaID>0</CasePleaID>
        <FatherName>עבדאללה</FatherName>
        <LinkedCaseID>0</LinkedCaseID>
        <PartyID>1</PartyID>
        <CasePartyCategoryID>2</CasePartyCategoryID>
        <LegalEntityAddressID>86986824</LegalEntityAddressID>
        <PleaTypeID>4</PleaTypeID>
        <GroupPartyAlias>תובעים</GroupPartyAlias>
        <IsConverted>false</IsConverted>
        <LegalEntityNameID>93703510</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עלי חוסייסי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בנק ירושלים בע"מ</FullName>
        <LastName>בנק ירושלים בע"מ</LastName>
        <PartyPropertyName/>
        <AuthenticationTypeAndNumber>חברות 520025636</AuthenticationTypeAndNumber>
        <RepresentatedOrRepresentativesNames/>
        <RepresentatedOrRepresentativesCount>0</RepresentatedOrRepresentativesCount>
        <InvitedBy/>
        <CaseID>79612677</CaseID>
        <CaseJudicialPersonPresentationDS>
          <CaseJudicalPersonActive>
            <CaseID>79612677</CaseID>
            <JudicialPersonID>032115875@GOV.IL</JudicialPersonID>
            <JudicialPersonTypeID>1</JudicialPersonTypeID>
            <JudicialTypeID>1</JudicialTypeID>
            <IsChairman>false</IsChairman>
            <TreatmentStartDate>2023-06-12T11:30:50.18+03:00</TreatmentStartDate>
            <TreatmentFinishDate>9999-12-31T23:59:59.997+02:00</TreatmentFinishDate>
            <IdentificationCardNumber>032115875</IdentificationCardNumber>
            <DisplayName>ענבל קרן</DisplayName>
            <JudicialTypeName>שופט</JudicialTypeName>
            <CaseJudicialGroupNumber>0</CaseJudicialGroupNumber>
            <FirstName>ענבל</FirstName>
            <LastName>קרן</LastName>
            <JudicialPersonTitle>שופט</JudicialPersonTitle>
          </CaseJudicalPersonActive>
        </CaseJudicialPersonPresentationDS>
        <CasePartyID>245887628</CasePartyID>
        <PartyTypeID>1</PartyTypeID>
        <ActivityStatusID>1</ActivityStatusID>
        <PartyAliasID>2</PartyAliasID>
        <PartyAliasName>נתבע</PartyAliasName>
        <OrdinalNumber>2</OrdinalNumber>
        <LegalEntityID>361409</LegalEntityID>
        <CaseLegalEntityID>121324027</CaseLegalEntityID>
        <AuthenticationTypeID>3</AuthenticationTypeID>
        <AuthenticationTypeName>חברות</AuthenticationTypeName>
        <LegalEntityNumber>520025636</LegalEntityNumber>
        <IsMainPartyType>true</IsMainPartyType>
        <CaseDisplayIdentifier>38881-09-22</CaseDisplayIdentifier>
        <CaseTypeID>15</CaseTypeID>
        <CaseTypeName>תיק משפחה (תמ"ש)</CaseTypeName>
        <CaseName>חוסייסי ואח' נ' חוסייסי ואח'</CaseName>
        <FullAddress>נגב 2 תל אביב -יפו קריית התעופה</FullAddress>
        <EmailAddress>hanochb@bankjerusalem.co.il</EmailAddress>
        <MotionID>0</MotionID>
        <CasePleaID>0</CasePleaID>
        <LinkedCaseID>0</LinkedCaseID>
        <PartyID>2</PartyID>
        <CasePartyCategoryID>2</CasePartyCategoryID>
        <LegalEntityAddressID>87126317</LegalEntityAddressID>
        <LegalEntityEmailAddressID>68182494</LegalEntityEmailAddressID>
        <PleaTypeID>4</PleaTypeID>
        <GroupPartyAlias>נתבעים</GroupPartyAlias>
        <IsConverted>false</IsConverted>
        <LegalEntityRegisteredNameID>324782</LegalEntityRegisteredNameID>
        <RepresentatedNamesOfAssistant/>
        <LegalEntityTypeID>3</LegalEntityTypeID>
        <IsVerdictExists>false</IsVerdictExists>
        <IsAsirAzir>false</IsAsirAzir>
        <IsPublicationProhibited>false</IsPublicationProhibited>
        <PublicationProhibitedFullName>בנק ירושלים בע"מ</PublicationProhibitedFullName>
      </CaseParties>
    </CasePartiesSelectionDS>
    <CaseName>חוסייסי ואח' נ' חוסייסי ואח'</CaseName>
    <CaseDisplayIdentifier>38881-09-22</CaseDisplayIdentifier>
    <CaseInterestID>158</CaseInterestID>
    <CaseTypeShortName>תמ"ש</CaseTypeShortName>
  </dt_DecisionCase>
  <dt_DecisionJudgePanel>
    <JudgeID>032115875@GOV.IL</JudgeID>
    <DisplayName>ענבל קרן</DisplayName>
    <RoleName>שופט</RoleName>
    <UserTitleName>שופטת</UserTitleName>
  </dt_DecisionJudgePanel>
  <dt_LegalEntityDetails>
    <Fax>04-8395200</Fax>
    <Phone>04-8395100</Phone>
    <PartyID>2</PartyID>
    <PartyTypeID>2</PartyTypeID>
    <DecisionID>0</DecisionID>
    <StreetName>מרכז מסחרי 2</StreetName>
    <ZipCode>30056</ZipCode>
    <CityName>דאלית אל-כרמל</CityName>
    <FullName>ואפי נסר אל דין</FullName>
    <Email>wafi.lawoffice@gmail.com</Email>
    <IsPublicationProhibited>false</IsPublicationProhibited>
  </dt_LegalEntityDetails>
  <dt_LegalEntityDetails>
    <PartyID>1</PartyID>
    <PartyTypeID>1</PartyTypeID>
    <DecisionID>0</DecisionID>
    <CityName>דאלית אל-כרמל</CityName>
    <FullName>פרג' חוסייסי</FullName>
    <IsPublicationProhibited>false</IsPublicationProhibited>
  </dt_LegalEntityDetails>
  <dt_LegalEntityDetails>
    <Fax>08-6758866</Fax>
    <Phone>08-6758880</Phone>
    <AddressDesc/>
    <PartyID>1</PartyID>
    <PartyTypeID>2</PartyTypeID>
    <DecisionID>0</DecisionID>
    <StreetName>שדרות התעשיה 8</StreetName>
    <ZipCode>78678</ZipCode>
    <CityName>אשקלון</CityName>
    <FullName>אלי סלהוב</FullName>
    <Email>office@tylaw.co.il</Email>
    <IsPublicationProhibited>false</IsPublicationProhibited>
  </dt_LegalEntityDetails>
  <dt_LegalEntityDetails>
    <PartyID>2</PartyID>
    <PartyTypeID>1</PartyTypeID>
    <DecisionID>0</DecisionID>
    <StreetName>הכרמל 46</StreetName>
    <CityName>דאלית אל-כרמל</CityName>
    <FullName>נאיל חוסייסי</FullName>
    <IsPublicationProhibited>false</IsPublicationProhibited>
  </dt_LegalEntityDetails>
  <dt_LegalEntityDetails>
    <PartyID>1</PartyID>
    <PartyTypeID>1</PartyTypeID>
    <DecisionID>0</DecisionID>
    <CityName>דאלית אל-כרמל</CityName>
    <FullName>עלי חוסייסי</FullName>
    <IsPublicationProhibited>false</IsPublicationProhibited>
  </dt_LegalEntityDetails>
  <dt_LegalEntityDetails>
    <AddressDesc>קריית התעופה</AddressDesc>
    <PartyID>2</PartyID>
    <PartyTypeID>1</PartyTypeID>
    <DecisionID>0</DecisionID>
    <StreetName>נגב 2</StreetName>
    <ZipCode>7010000</ZipCode>
    <CityName>תל אביב -יפו</CityName>
    <FullName> בנק ירושלים בע"מ</FullName>
    <Email>hanochb@bankjerusalem.co.il</Email>
    <IsPublicationProhibited>false</IsPublicationProhibited>
  </dt_LegalEntityDetails>
  <dt_CaseJudicalPersonActive>
    <CaseJudicalPerson>שופטת ענבל קרן</CaseJudicalPerson>
  </dt_CaseJudicalPersonActive>
  <dt_Sitting>
    <PreviousMeetingDate>2023-08-14T13:00:00+03:00</PreviousMeetingDate>
    <PreviousSittingTypeID>5</PreviousSittingTypeID>
    <PreviousMeetingDisplayName>רשמת בכירה אילנה הדר</PreviousMeetingDisplayName>
    <PreviousMeetingRoleName>רשם</PreviousMeetingRoleName>
    <PreviousMeetingUserTitleName>רשמת בכירה</PreviousMeetingUserTitleName>
    <PreviousMeetingUserUPN>016780827@GOV.IL</PreviousMeetingUserUPN>
  </dt_Sitting>
</DecisionTemplateDS>
</file>

<file path=customXml/itemProps1.xml><?xml version="1.0" encoding="utf-8"?>
<ds:datastoreItem xmlns:ds="http://schemas.openxmlformats.org/officeDocument/2006/customXml" ds:itemID="{6D9623AA-C79E-460C-871C-104C01B6F9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2057</Words>
  <Characters>10290</Characters>
  <Application>Microsoft Office Word</Application>
  <DocSecurity>0</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2023-09-26T12:10:00Z</dcterms:created>
  <dcterms:modified xsi:type="dcterms:W3CDTF">2023-09-26T12:10:00Z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d2c38b4e7ec3b5baf9162d2ad231342f4fe28bb2a16653dd9800b18a891f7127</vt:lpwstr>
  </property>
</Properties>
</file>